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167"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FORM 10-Q</w:t>
      </w:r>
    </w:p>
    <w:p>
      <w:pPr>
        <w:spacing w:after="0" w:line="144"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34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136"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02" w:lineRule="exact"/>
        <w:rPr>
          <w:sz w:val="24"/>
          <w:szCs w:val="24"/>
          <w:color w:val="auto"/>
        </w:rPr>
      </w:pPr>
    </w:p>
    <w:p>
      <w:pPr>
        <w:ind w:left="4260"/>
        <w:spacing w:after="0"/>
        <w:tabs>
          <w:tab w:leader="none" w:pos="68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8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Commission file number: 1-08325</w:t>
      </w:r>
    </w:p>
    <w:p>
      <w:pPr>
        <w:spacing w:after="0" w:line="113" w:lineRule="exact"/>
        <w:rPr>
          <w:sz w:val="24"/>
          <w:szCs w:val="24"/>
          <w:color w:val="auto"/>
        </w:rPr>
      </w:pPr>
    </w:p>
    <w:p>
      <w:pPr>
        <w:ind w:left="3160"/>
        <w:spacing w:after="0"/>
        <w:rPr>
          <w:sz w:val="20"/>
          <w:szCs w:val="20"/>
          <w:color w:val="auto"/>
        </w:rPr>
      </w:pPr>
      <w:r>
        <w:rPr>
          <w:rFonts w:ascii="Arial" w:cs="Arial" w:eastAsia="Arial" w:hAnsi="Arial"/>
          <w:sz w:val="16"/>
          <w:szCs w:val="16"/>
          <w:b w:val="1"/>
          <w:bCs w:val="1"/>
          <w:color w:val="auto"/>
        </w:rPr>
        <w:t>_____________________________________________________________</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MYR GROUP INC.</w:t>
      </w:r>
    </w:p>
    <w:p>
      <w:pPr>
        <w:spacing w:after="0" w:line="3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55" w:lineRule="exact"/>
        <w:rPr>
          <w:sz w:val="24"/>
          <w:szCs w:val="24"/>
          <w:color w:val="auto"/>
        </w:rPr>
      </w:pPr>
    </w:p>
    <w:tbl>
      <w:tblPr>
        <w:tblLayout w:type="fixed"/>
        <w:tblInd w:w="1980" w:type="dxa"/>
        <w:tblCellMar>
          <w:top w:w="0" w:type="dxa"/>
          <w:left w:w="0" w:type="dxa"/>
          <w:bottom w:w="0" w:type="dxa"/>
          <w:right w:w="0" w:type="dxa"/>
        </w:tblCellMar>
      </w:tblPr>
      <w:tr>
        <w:trPr>
          <w:trHeight w:val="210"/>
        </w:trPr>
        <w:tc>
          <w:tcPr>
            <w:tcW w:w="3680" w:type="dxa"/>
            <w:vAlign w:val="bottom"/>
          </w:tcPr>
          <w:p>
            <w:pPr>
              <w:jc w:val="center"/>
              <w:ind w:right="1039"/>
              <w:spacing w:after="0"/>
              <w:rPr>
                <w:sz w:val="20"/>
                <w:szCs w:val="20"/>
                <w:color w:val="auto"/>
              </w:rPr>
            </w:pPr>
            <w:r>
              <w:rPr>
                <w:rFonts w:ascii="Arial" w:cs="Arial" w:eastAsia="Arial" w:hAnsi="Arial"/>
                <w:sz w:val="16"/>
                <w:szCs w:val="16"/>
                <w:b w:val="1"/>
                <w:bCs w:val="1"/>
                <w:color w:val="auto"/>
                <w:w w:val="91"/>
              </w:rPr>
              <w:t>Delaware</w:t>
            </w:r>
          </w:p>
        </w:tc>
        <w:tc>
          <w:tcPr>
            <w:tcW w:w="3480" w:type="dxa"/>
            <w:vAlign w:val="bottom"/>
          </w:tcPr>
          <w:p>
            <w:pPr>
              <w:jc w:val="right"/>
              <w:ind w:right="699"/>
              <w:spacing w:after="0"/>
              <w:rPr>
                <w:sz w:val="20"/>
                <w:szCs w:val="20"/>
                <w:color w:val="auto"/>
              </w:rPr>
            </w:pPr>
            <w:r>
              <w:rPr>
                <w:rFonts w:ascii="Arial" w:cs="Arial" w:eastAsia="Arial" w:hAnsi="Arial"/>
                <w:sz w:val="16"/>
                <w:szCs w:val="16"/>
                <w:b w:val="1"/>
                <w:bCs w:val="1"/>
                <w:color w:val="auto"/>
              </w:rPr>
              <w:t>36-3158643</w:t>
            </w:r>
          </w:p>
        </w:tc>
      </w:tr>
      <w:tr>
        <w:trPr>
          <w:trHeight w:val="226"/>
        </w:trPr>
        <w:tc>
          <w:tcPr>
            <w:tcW w:w="3680" w:type="dxa"/>
            <w:vAlign w:val="bottom"/>
          </w:tcPr>
          <w:p>
            <w:pPr>
              <w:jc w:val="center"/>
              <w:ind w:right="1079"/>
              <w:spacing w:after="0"/>
              <w:rPr>
                <w:sz w:val="20"/>
                <w:szCs w:val="20"/>
                <w:color w:val="auto"/>
              </w:rPr>
            </w:pPr>
            <w:r>
              <w:rPr>
                <w:rFonts w:ascii="Arial" w:cs="Arial" w:eastAsia="Arial" w:hAnsi="Arial"/>
                <w:sz w:val="16"/>
                <w:szCs w:val="16"/>
                <w:color w:val="auto"/>
                <w:w w:val="93"/>
              </w:rPr>
              <w:t>(State or other jurisdiction of</w:t>
            </w:r>
          </w:p>
        </w:tc>
        <w:tc>
          <w:tcPr>
            <w:tcW w:w="3480" w:type="dxa"/>
            <w:vAlign w:val="bottom"/>
          </w:tcPr>
          <w:p>
            <w:pPr>
              <w:jc w:val="center"/>
              <w:ind w:left="1039"/>
              <w:spacing w:after="0"/>
              <w:rPr>
                <w:sz w:val="20"/>
                <w:szCs w:val="20"/>
                <w:color w:val="auto"/>
              </w:rPr>
            </w:pPr>
            <w:r>
              <w:rPr>
                <w:rFonts w:ascii="Arial" w:cs="Arial" w:eastAsia="Arial" w:hAnsi="Arial"/>
                <w:sz w:val="16"/>
                <w:szCs w:val="16"/>
                <w:color w:val="auto"/>
                <w:w w:val="95"/>
              </w:rPr>
              <w:t>(I.R.S. Employer Identification No.)</w:t>
            </w:r>
          </w:p>
        </w:tc>
      </w:tr>
      <w:tr>
        <w:trPr>
          <w:trHeight w:val="206"/>
        </w:trPr>
        <w:tc>
          <w:tcPr>
            <w:tcW w:w="3680" w:type="dxa"/>
            <w:vAlign w:val="bottom"/>
          </w:tcPr>
          <w:p>
            <w:pPr>
              <w:jc w:val="center"/>
              <w:ind w:right="1039"/>
              <w:spacing w:after="0"/>
              <w:rPr>
                <w:sz w:val="20"/>
                <w:szCs w:val="20"/>
                <w:color w:val="auto"/>
              </w:rPr>
            </w:pPr>
            <w:r>
              <w:rPr>
                <w:rFonts w:ascii="Arial" w:cs="Arial" w:eastAsia="Arial" w:hAnsi="Arial"/>
                <w:sz w:val="16"/>
                <w:szCs w:val="16"/>
                <w:color w:val="auto"/>
                <w:w w:val="94"/>
              </w:rPr>
              <w:t>incorporation or organization)</w:t>
            </w:r>
          </w:p>
        </w:tc>
        <w:tc>
          <w:tcPr>
            <w:tcW w:w="3480" w:type="dxa"/>
            <w:vAlign w:val="bottom"/>
          </w:tcPr>
          <w:p>
            <w:pPr>
              <w:spacing w:after="0"/>
              <w:rPr>
                <w:sz w:val="17"/>
                <w:szCs w:val="17"/>
                <w:color w:val="auto"/>
              </w:rPr>
            </w:pPr>
          </w:p>
        </w:tc>
      </w:tr>
      <w:tr>
        <w:trPr>
          <w:trHeight w:val="459"/>
        </w:trPr>
        <w:tc>
          <w:tcPr>
            <w:tcW w:w="3680" w:type="dxa"/>
            <w:vAlign w:val="bottom"/>
          </w:tcPr>
          <w:p>
            <w:pPr>
              <w:ind w:left="320"/>
              <w:spacing w:after="0"/>
              <w:rPr>
                <w:sz w:val="20"/>
                <w:szCs w:val="20"/>
                <w:color w:val="auto"/>
              </w:rPr>
            </w:pPr>
            <w:r>
              <w:rPr>
                <w:rFonts w:ascii="Arial" w:cs="Arial" w:eastAsia="Arial" w:hAnsi="Arial"/>
                <w:sz w:val="16"/>
                <w:szCs w:val="16"/>
                <w:b w:val="1"/>
                <w:bCs w:val="1"/>
                <w:color w:val="auto"/>
              </w:rPr>
              <w:t>12150 East 112th Avenue</w:t>
            </w:r>
          </w:p>
        </w:tc>
        <w:tc>
          <w:tcPr>
            <w:tcW w:w="3480" w:type="dxa"/>
            <w:vAlign w:val="bottom"/>
          </w:tcPr>
          <w:p>
            <w:pPr>
              <w:spacing w:after="0"/>
              <w:rPr>
                <w:sz w:val="24"/>
                <w:szCs w:val="24"/>
                <w:color w:val="auto"/>
              </w:rPr>
            </w:pPr>
          </w:p>
        </w:tc>
      </w:tr>
      <w:tr>
        <w:trPr>
          <w:trHeight w:val="270"/>
        </w:trPr>
        <w:tc>
          <w:tcPr>
            <w:tcW w:w="3680" w:type="dxa"/>
            <w:vAlign w:val="bottom"/>
          </w:tcPr>
          <w:p>
            <w:pPr>
              <w:ind w:left="440"/>
              <w:spacing w:after="0"/>
              <w:rPr>
                <w:sz w:val="20"/>
                <w:szCs w:val="20"/>
                <w:color w:val="auto"/>
              </w:rPr>
            </w:pPr>
            <w:r>
              <w:rPr>
                <w:rFonts w:ascii="Arial" w:cs="Arial" w:eastAsia="Arial" w:hAnsi="Arial"/>
                <w:sz w:val="16"/>
                <w:szCs w:val="16"/>
                <w:b w:val="1"/>
                <w:bCs w:val="1"/>
                <w:color w:val="auto"/>
              </w:rPr>
              <w:t xml:space="preserve">Henderson,  </w:t>
            </w:r>
            <w:r>
              <w:rPr>
                <w:rFonts w:ascii="Arial" w:cs="Arial" w:eastAsia="Arial" w:hAnsi="Arial"/>
                <w:sz w:val="17"/>
                <w:szCs w:val="17"/>
                <w:b w:val="1"/>
                <w:bCs w:val="1"/>
                <w:color w:val="auto"/>
              </w:rPr>
              <w:t>CO</w:t>
            </w:r>
          </w:p>
        </w:tc>
        <w:tc>
          <w:tcPr>
            <w:tcW w:w="3480" w:type="dxa"/>
            <w:vAlign w:val="bottom"/>
          </w:tcPr>
          <w:p>
            <w:pPr>
              <w:jc w:val="right"/>
              <w:ind w:right="899"/>
              <w:spacing w:after="0"/>
              <w:rPr>
                <w:sz w:val="20"/>
                <w:szCs w:val="20"/>
                <w:color w:val="auto"/>
              </w:rPr>
            </w:pPr>
            <w:r>
              <w:rPr>
                <w:rFonts w:ascii="Arial" w:cs="Arial" w:eastAsia="Arial" w:hAnsi="Arial"/>
                <w:sz w:val="16"/>
                <w:szCs w:val="16"/>
                <w:b w:val="1"/>
                <w:bCs w:val="1"/>
                <w:color w:val="auto"/>
              </w:rPr>
              <w:t>80640</w:t>
            </w:r>
          </w:p>
        </w:tc>
      </w:tr>
      <w:tr>
        <w:trPr>
          <w:trHeight w:val="257"/>
        </w:trPr>
        <w:tc>
          <w:tcPr>
            <w:tcW w:w="3680" w:type="dxa"/>
            <w:vAlign w:val="bottom"/>
          </w:tcPr>
          <w:p>
            <w:pPr>
              <w:jc w:val="center"/>
              <w:ind w:right="1039"/>
              <w:spacing w:after="0"/>
              <w:rPr>
                <w:sz w:val="20"/>
                <w:szCs w:val="20"/>
                <w:color w:val="auto"/>
              </w:rPr>
            </w:pPr>
            <w:r>
              <w:rPr>
                <w:rFonts w:ascii="Arial" w:cs="Arial" w:eastAsia="Arial" w:hAnsi="Arial"/>
                <w:sz w:val="16"/>
                <w:szCs w:val="16"/>
                <w:color w:val="auto"/>
                <w:w w:val="93"/>
              </w:rPr>
              <w:t>(Address of principal executive offices)</w:t>
            </w:r>
          </w:p>
        </w:tc>
        <w:tc>
          <w:tcPr>
            <w:tcW w:w="3480" w:type="dxa"/>
            <w:vAlign w:val="bottom"/>
          </w:tcPr>
          <w:p>
            <w:pPr>
              <w:jc w:val="center"/>
              <w:ind w:left="1039"/>
              <w:spacing w:after="0"/>
              <w:rPr>
                <w:sz w:val="20"/>
                <w:szCs w:val="20"/>
                <w:color w:val="auto"/>
              </w:rPr>
            </w:pPr>
            <w:r>
              <w:rPr>
                <w:rFonts w:ascii="Arial" w:cs="Arial" w:eastAsia="Arial" w:hAnsi="Arial"/>
                <w:sz w:val="16"/>
                <w:szCs w:val="16"/>
                <w:color w:val="auto"/>
                <w:w w:val="95"/>
              </w:rPr>
              <w:t>(Zip Code)</w:t>
            </w:r>
          </w:p>
        </w:tc>
      </w:tr>
    </w:tbl>
    <w:p>
      <w:pPr>
        <w:spacing w:after="0" w:line="27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(303) 286-8000</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N/A</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5" w:lineRule="exact"/>
        <w:rPr>
          <w:sz w:val="24"/>
          <w:szCs w:val="24"/>
          <w:color w:val="auto"/>
        </w:rPr>
      </w:pPr>
    </w:p>
    <w:p>
      <w:pPr>
        <w:ind w:left="3160"/>
        <w:spacing w:after="0"/>
        <w:rPr>
          <w:sz w:val="20"/>
          <w:szCs w:val="20"/>
          <w:color w:val="auto"/>
        </w:rPr>
      </w:pPr>
      <w:r>
        <w:rPr>
          <w:rFonts w:ascii="Arial" w:cs="Arial" w:eastAsia="Arial" w:hAnsi="Arial"/>
          <w:sz w:val="16"/>
          <w:szCs w:val="16"/>
          <w:b w:val="1"/>
          <w:bCs w:val="1"/>
          <w:color w:val="auto"/>
        </w:rPr>
        <w:t>_____________________________________________________________</w:t>
      </w:r>
    </w:p>
    <w:p>
      <w:pPr>
        <w:spacing w:after="0" w:line="180" w:lineRule="exact"/>
        <w:rPr>
          <w:sz w:val="24"/>
          <w:szCs w:val="24"/>
          <w:color w:val="auto"/>
        </w:rPr>
      </w:pPr>
    </w:p>
    <w:p>
      <w:pPr>
        <w:ind w:left="3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MYRG</w:t>
            </w:r>
          </w:p>
        </w:tc>
        <w:tc>
          <w:tcPr>
            <w:tcW w:w="4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23"/>
        </w:trPr>
        <w:tc>
          <w:tcPr>
            <w:tcW w:w="4660" w:type="dxa"/>
            <w:vAlign w:val="bottom"/>
            <w:tcBorders>
              <w:left w:val="single" w:sz="8" w:color="auto"/>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(Nasdaq Global Market)</w:t>
            </w:r>
          </w:p>
        </w:tc>
      </w:tr>
    </w:tbl>
    <w:p>
      <w:pPr>
        <w:spacing w:after="0" w:line="206" w:lineRule="exact"/>
        <w:rPr>
          <w:sz w:val="24"/>
          <w:szCs w:val="24"/>
          <w:color w:val="auto"/>
        </w:rPr>
      </w:pPr>
    </w:p>
    <w:p>
      <w:pPr>
        <w:ind w:right="2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02" w:lineRule="exact"/>
        <w:rPr>
          <w:sz w:val="24"/>
          <w:szCs w:val="24"/>
          <w:color w:val="auto"/>
        </w:rPr>
      </w:pPr>
    </w:p>
    <w:p>
      <w:pPr>
        <w:ind w:right="100" w:firstLine="324"/>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5"/>
          <w:szCs w:val="15"/>
          <w:color w:val="auto"/>
        </w:rPr>
        <w:t>☐</w:t>
      </w:r>
    </w:p>
    <w:p>
      <w:pPr>
        <w:spacing w:after="0" w:line="87" w:lineRule="exact"/>
        <w:rPr>
          <w:sz w:val="24"/>
          <w:szCs w:val="24"/>
          <w:color w:val="auto"/>
        </w:rPr>
      </w:pPr>
    </w:p>
    <w:p>
      <w:pPr>
        <w:ind w:right="360" w:firstLine="32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4"/>
          <w:szCs w:val="24"/>
          <w:color w:val="auto"/>
        </w:rPr>
      </w:pPr>
    </w:p>
    <w:tbl>
      <w:tblPr>
        <w:tblLayout w:type="fixed"/>
        <w:tblInd w:w="1920" w:type="dxa"/>
        <w:tblCellMar>
          <w:top w:w="0" w:type="dxa"/>
          <w:left w:w="0" w:type="dxa"/>
          <w:bottom w:w="0" w:type="dxa"/>
          <w:right w:w="0" w:type="dxa"/>
        </w:tblCellMar>
      </w:tblPr>
      <w:tr>
        <w:trPr>
          <w:trHeight w:val="243"/>
        </w:trPr>
        <w:tc>
          <w:tcPr>
            <w:tcW w:w="3340" w:type="dxa"/>
            <w:vAlign w:val="bottom"/>
          </w:tcPr>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tc>
        <w:tc>
          <w:tcPr>
            <w:tcW w:w="3720" w:type="dxa"/>
            <w:vAlign w:val="bottom"/>
          </w:tcPr>
          <w:p>
            <w:pPr>
              <w:ind w:left="170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240"/>
              <w:spacing w:after="0"/>
              <w:rPr>
                <w:sz w:val="20"/>
                <w:szCs w:val="20"/>
                <w:color w:val="auto"/>
              </w:rPr>
            </w:pPr>
            <w:r>
              <w:rPr>
                <w:rFonts w:ascii="Arial" w:cs="Arial" w:eastAsia="Arial" w:hAnsi="Arial"/>
                <w:sz w:val="16"/>
                <w:szCs w:val="16"/>
                <w:color w:val="auto"/>
              </w:rPr>
              <w:t>x</w:t>
            </w:r>
          </w:p>
        </w:tc>
      </w:tr>
      <w:tr>
        <w:trPr>
          <w:trHeight w:val="243"/>
        </w:trPr>
        <w:tc>
          <w:tcPr>
            <w:tcW w:w="3340" w:type="dxa"/>
            <w:vAlign w:val="bottom"/>
          </w:tcPr>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tc>
        <w:tc>
          <w:tcPr>
            <w:tcW w:w="3720" w:type="dxa"/>
            <w:vAlign w:val="bottom"/>
          </w:tcPr>
          <w:p>
            <w:pPr>
              <w:ind w:left="1700"/>
              <w:spacing w:after="0"/>
              <w:rPr>
                <w:sz w:val="20"/>
                <w:szCs w:val="20"/>
                <w:color w:val="auto"/>
              </w:rPr>
            </w:pPr>
            <w:r>
              <w:rPr>
                <w:rFonts w:ascii="Arial" w:cs="Arial" w:eastAsia="Arial" w:hAnsi="Arial"/>
                <w:sz w:val="16"/>
                <w:szCs w:val="16"/>
                <w:color w:val="auto"/>
              </w:rPr>
              <w:t>Smaller reporting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3340" w:type="dxa"/>
            <w:vAlign w:val="bottom"/>
          </w:tcPr>
          <w:p>
            <w:pPr>
              <w:spacing w:after="0"/>
              <w:rPr>
                <w:sz w:val="22"/>
                <w:szCs w:val="22"/>
                <w:color w:val="auto"/>
              </w:rPr>
            </w:pPr>
          </w:p>
        </w:tc>
        <w:tc>
          <w:tcPr>
            <w:tcW w:w="3720" w:type="dxa"/>
            <w:vAlign w:val="bottom"/>
          </w:tcPr>
          <w:p>
            <w:pPr>
              <w:ind w:left="1700"/>
              <w:spacing w:after="0"/>
              <w:rPr>
                <w:sz w:val="20"/>
                <w:szCs w:val="20"/>
                <w:color w:val="auto"/>
              </w:rPr>
            </w:pPr>
            <w:r>
              <w:rPr>
                <w:rFonts w:ascii="Arial" w:cs="Arial" w:eastAsia="Arial" w:hAnsi="Arial"/>
                <w:sz w:val="16"/>
                <w:szCs w:val="16"/>
                <w:color w:val="auto"/>
              </w:rPr>
              <w:t>Emerging growth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6" w:lineRule="exact"/>
        <w:rPr>
          <w:sz w:val="24"/>
          <w:szCs w:val="24"/>
          <w:color w:val="auto"/>
        </w:rPr>
      </w:pPr>
    </w:p>
    <w:p>
      <w:pPr>
        <w:ind w:right="280"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0" w:lineRule="exact"/>
        <w:rPr>
          <w:sz w:val="24"/>
          <w:szCs w:val="24"/>
          <w:color w:val="auto"/>
        </w:rPr>
      </w:pPr>
    </w:p>
    <w:p>
      <w:pPr>
        <w:ind w:left="340" w:right="2740"/>
        <w:spacing w:after="0" w:line="291"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x As of October 22, 2021, there were 16,869,947 outstanding shares of the registrant’s $0.01 par value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Page</w:t>
            </w:r>
          </w:p>
        </w:tc>
      </w:tr>
      <w:tr>
        <w:trPr>
          <w:trHeight w:val="203"/>
        </w:trPr>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20" w:type="dxa"/>
            <w:vAlign w:val="bottom"/>
            <w:gridSpan w:val="12"/>
            <w:shd w:val="clear" w:color="auto" w:fill="CCEEFF"/>
          </w:tcPr>
          <w:p>
            <w:pPr>
              <w:jc w:val="center"/>
              <w:ind w:right="3060"/>
              <w:spacing w:after="0" w:line="183" w:lineRule="exact"/>
              <w:rPr>
                <w:rFonts w:ascii="Arial" w:cs="Arial" w:eastAsia="Arial" w:hAnsi="Arial"/>
                <w:sz w:val="20"/>
                <w:szCs w:val="20"/>
                <w:b w:val="1"/>
                <w:bCs w:val="1"/>
                <w:color w:val="0000FF"/>
                <w:w w:val="94"/>
              </w:rPr>
            </w:pPr>
            <w:hyperlink w:anchor="page2">
              <w:r>
                <w:rPr>
                  <w:rFonts w:ascii="Arial" w:cs="Arial" w:eastAsia="Arial" w:hAnsi="Arial"/>
                  <w:sz w:val="20"/>
                  <w:szCs w:val="20"/>
                  <w:b w:val="1"/>
                  <w:bCs w:val="1"/>
                  <w:color w:val="0000FF"/>
                  <w:w w:val="94"/>
                </w:rPr>
                <w:t>Part I—Financial Information</w:t>
              </w:r>
            </w:hyperlink>
          </w:p>
        </w:tc>
        <w:tc>
          <w:tcPr>
            <w:tcW w:w="1520" w:type="dxa"/>
            <w:vAlign w:val="bottom"/>
            <w:shd w:val="clear" w:color="auto" w:fill="CCEEFF"/>
          </w:tcPr>
          <w:p>
            <w:pPr>
              <w:spacing w:after="0"/>
              <w:rPr>
                <w:sz w:val="17"/>
                <w:szCs w:val="17"/>
                <w:color w:val="auto"/>
              </w:rPr>
            </w:pPr>
          </w:p>
        </w:tc>
      </w:tr>
      <w:tr>
        <w:trPr>
          <w:trHeight w:val="203"/>
        </w:trPr>
        <w:tc>
          <w:tcPr>
            <w:tcW w:w="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gridSpan w:val="5"/>
          </w:tcPr>
          <w:p>
            <w:pPr>
              <w:ind w:left="80"/>
              <w:spacing w:after="0" w:line="203" w:lineRule="exact"/>
              <w:rPr>
                <w:rFonts w:ascii="Arial" w:cs="Arial" w:eastAsia="Arial" w:hAnsi="Arial"/>
                <w:sz w:val="20"/>
                <w:szCs w:val="20"/>
                <w:color w:val="0000FF"/>
              </w:rPr>
            </w:pPr>
            <w:hyperlink w:anchor="page3">
              <w:r>
                <w:rPr>
                  <w:rFonts w:ascii="Arial" w:cs="Arial" w:eastAsia="Arial" w:hAnsi="Arial"/>
                  <w:sz w:val="20"/>
                  <w:szCs w:val="20"/>
                  <w:color w:val="0000FF"/>
                </w:rPr>
                <w:t>Item 1.</w:t>
              </w:r>
            </w:hyperlink>
          </w:p>
        </w:tc>
        <w:tc>
          <w:tcPr>
            <w:tcW w:w="3040" w:type="dxa"/>
            <w:vAlign w:val="bottom"/>
            <w:tcBorders>
              <w:top w:val="single" w:sz="8" w:color="CCEEFF"/>
            </w:tcBorders>
            <w:gridSpan w:val="8"/>
          </w:tcPr>
          <w:p>
            <w:pPr>
              <w:spacing w:after="0" w:line="203" w:lineRule="exact"/>
              <w:rPr>
                <w:rFonts w:ascii="Arial" w:cs="Arial" w:eastAsia="Arial" w:hAnsi="Arial"/>
                <w:sz w:val="20"/>
                <w:szCs w:val="20"/>
                <w:color w:val="0000FF"/>
              </w:rPr>
            </w:pPr>
            <w:hyperlink w:anchor="page3">
              <w:r>
                <w:rPr>
                  <w:rFonts w:ascii="Arial" w:cs="Arial" w:eastAsia="Arial" w:hAnsi="Arial"/>
                  <w:sz w:val="20"/>
                  <w:szCs w:val="20"/>
                  <w:color w:val="0000FF"/>
                </w:rPr>
                <w:t>Financial Statements</w:t>
              </w:r>
            </w:hyperlink>
          </w:p>
        </w:tc>
        <w:tc>
          <w:tcPr>
            <w:tcW w:w="2560" w:type="dxa"/>
            <w:vAlign w:val="bottom"/>
            <w:tcBorders>
              <w:top w:val="single" w:sz="8" w:color="0000FF"/>
            </w:tcBorders>
            <w:gridSpan w:val="6"/>
          </w:tcPr>
          <w:p>
            <w:pPr>
              <w:spacing w:after="0"/>
              <w:rPr>
                <w:sz w:val="17"/>
                <w:szCs w:val="17"/>
                <w:color w:val="auto"/>
              </w:rPr>
            </w:pPr>
          </w:p>
        </w:tc>
        <w:tc>
          <w:tcPr>
            <w:tcW w:w="3060" w:type="dxa"/>
            <w:vAlign w:val="bottom"/>
            <w:tcBorders>
              <w:top w:val="single" w:sz="8" w:color="CCEEFF"/>
            </w:tcBorders>
            <w:gridSpan w:val="6"/>
          </w:tcPr>
          <w:p>
            <w:pPr>
              <w:spacing w:after="0"/>
              <w:rPr>
                <w:sz w:val="17"/>
                <w:szCs w:val="17"/>
                <w:color w:val="auto"/>
              </w:rPr>
            </w:pPr>
          </w:p>
        </w:tc>
        <w:tc>
          <w:tcPr>
            <w:tcW w:w="1520" w:type="dxa"/>
            <w:vAlign w:val="bottom"/>
            <w:tcBorders>
              <w:top w:val="single" w:sz="8" w:color="CCEEFF"/>
            </w:tcBorders>
          </w:tcPr>
          <w:p>
            <w:pPr>
              <w:jc w:val="right"/>
              <w:spacing w:after="0" w:line="202" w:lineRule="exact"/>
              <w:rPr>
                <w:rFonts w:ascii="Arial" w:cs="Arial" w:eastAsia="Arial" w:hAnsi="Arial"/>
                <w:sz w:val="18"/>
                <w:szCs w:val="18"/>
                <w:color w:val="auto"/>
              </w:rPr>
            </w:pPr>
            <w:hyperlink w:anchor="page3">
              <w:r>
                <w:rPr>
                  <w:rFonts w:ascii="Arial" w:cs="Arial" w:eastAsia="Arial" w:hAnsi="Arial"/>
                  <w:sz w:val="18"/>
                  <w:szCs w:val="18"/>
                  <w:color w:val="auto"/>
                </w:rPr>
                <w:t>2</w:t>
              </w:r>
            </w:hyperlink>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23"/>
        </w:trPr>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260" w:type="dxa"/>
            <w:vAlign w:val="bottom"/>
            <w:tcBorders>
              <w:bottom w:val="single" w:sz="8" w:color="0000FF"/>
            </w:tcBorders>
            <w:gridSpan w:val="16"/>
            <w:shd w:val="clear" w:color="auto" w:fill="CCEEFF"/>
          </w:tcPr>
          <w:p>
            <w:pPr>
              <w:spacing w:after="0" w:line="203" w:lineRule="exact"/>
              <w:rPr>
                <w:rFonts w:ascii="Arial" w:cs="Arial" w:eastAsia="Arial" w:hAnsi="Arial"/>
                <w:sz w:val="20"/>
                <w:szCs w:val="20"/>
                <w:color w:val="0000FF"/>
                <w:w w:val="87"/>
              </w:rPr>
            </w:pPr>
            <w:hyperlink w:anchor="page3">
              <w:r>
                <w:rPr>
                  <w:rFonts w:ascii="Arial" w:cs="Arial" w:eastAsia="Arial" w:hAnsi="Arial"/>
                  <w:sz w:val="20"/>
                  <w:szCs w:val="20"/>
                  <w:color w:val="0000FF"/>
                  <w:w w:val="87"/>
                </w:rPr>
                <w:t xml:space="preserve">Consolidated Balance Sheets as of </w:t>
              </w:r>
            </w:hyperlink>
            <w:r>
              <w:rPr>
                <w:rFonts w:ascii="Arial" w:cs="Arial" w:eastAsia="Arial" w:hAnsi="Arial"/>
                <w:sz w:val="20"/>
                <w:szCs w:val="20"/>
                <w:color w:val="0000FF"/>
                <w:w w:val="87"/>
              </w:rPr>
              <w:t xml:space="preserve">September 30, 2021 </w:t>
            </w:r>
            <w:hyperlink w:anchor="page3">
              <w:r>
                <w:rPr>
                  <w:rFonts w:ascii="Arial" w:cs="Arial" w:eastAsia="Arial" w:hAnsi="Arial"/>
                  <w:sz w:val="20"/>
                  <w:szCs w:val="20"/>
                  <w:color w:val="0000FF"/>
                  <w:w w:val="87"/>
                </w:rPr>
                <w:t xml:space="preserve">(unaudited) and </w:t>
              </w:r>
            </w:hyperlink>
            <w:r>
              <w:rPr>
                <w:rFonts w:ascii="Arial" w:cs="Arial" w:eastAsia="Arial" w:hAnsi="Arial"/>
                <w:sz w:val="20"/>
                <w:szCs w:val="20"/>
                <w:color w:val="0000FF"/>
                <w:w w:val="87"/>
              </w:rPr>
              <w:t>December 31, 2020</w:t>
            </w:r>
          </w:p>
        </w:tc>
        <w:tc>
          <w:tcPr>
            <w:tcW w:w="1400" w:type="dxa"/>
            <w:vAlign w:val="bottom"/>
            <w:tcBorders>
              <w:bottom w:val="single" w:sz="8" w:color="CCEEFF"/>
            </w:tcBorders>
            <w:gridSpan w:val="4"/>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line="202" w:lineRule="exact"/>
              <w:rPr>
                <w:rFonts w:ascii="Arial" w:cs="Arial" w:eastAsia="Arial" w:hAnsi="Arial"/>
                <w:sz w:val="18"/>
                <w:szCs w:val="18"/>
                <w:color w:val="auto"/>
              </w:rPr>
            </w:pPr>
            <w:hyperlink w:anchor="page3">
              <w:r>
                <w:rPr>
                  <w:rFonts w:ascii="Arial" w:cs="Arial" w:eastAsia="Arial" w:hAnsi="Arial"/>
                  <w:sz w:val="18"/>
                  <w:szCs w:val="18"/>
                  <w:color w:val="auto"/>
                </w:rPr>
                <w:t>2</w:t>
              </w:r>
            </w:hyperlink>
          </w:p>
        </w:tc>
      </w:tr>
      <w:tr>
        <w:trPr>
          <w:trHeight w:val="202"/>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60" w:type="dxa"/>
            <w:vAlign w:val="bottom"/>
            <w:gridSpan w:val="20"/>
          </w:tcPr>
          <w:p>
            <w:pPr>
              <w:spacing w:after="0" w:line="203" w:lineRule="exact"/>
              <w:rPr>
                <w:rFonts w:ascii="Arial" w:cs="Arial" w:eastAsia="Arial" w:hAnsi="Arial"/>
                <w:sz w:val="20"/>
                <w:szCs w:val="20"/>
                <w:color w:val="0000FF"/>
                <w:w w:val="95"/>
              </w:rPr>
            </w:pPr>
            <w:hyperlink w:anchor="page3">
              <w:r>
                <w:rPr>
                  <w:rFonts w:ascii="Arial" w:cs="Arial" w:eastAsia="Arial" w:hAnsi="Arial"/>
                  <w:sz w:val="20"/>
                  <w:szCs w:val="20"/>
                  <w:color w:val="0000FF"/>
                  <w:w w:val="95"/>
                </w:rPr>
                <w:t xml:space="preserve">Unaudited Consolidated Statements of Operations and Comprehensive Income for the </w:t>
              </w:r>
            </w:hyperlink>
            <w:r>
              <w:rPr>
                <w:rFonts w:ascii="Arial" w:cs="Arial" w:eastAsia="Arial" w:hAnsi="Arial"/>
                <w:sz w:val="20"/>
                <w:szCs w:val="20"/>
                <w:color w:val="0000FF"/>
                <w:w w:val="95"/>
              </w:rPr>
              <w:t>Three and Nine</w:t>
            </w:r>
          </w:p>
        </w:tc>
        <w:tc>
          <w:tcPr>
            <w:tcW w:w="1520" w:type="dxa"/>
            <w:vAlign w:val="bottom"/>
          </w:tcPr>
          <w:p>
            <w:pPr>
              <w:jc w:val="right"/>
              <w:spacing w:after="0" w:line="202" w:lineRule="exact"/>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169"/>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80" w:type="dxa"/>
            <w:vAlign w:val="bottom"/>
            <w:tcBorders>
              <w:top w:val="single" w:sz="8" w:color="0000FF"/>
            </w:tcBorders>
            <w:gridSpan w:val="18"/>
          </w:tcPr>
          <w:p>
            <w:pPr>
              <w:spacing w:after="0" w:line="169" w:lineRule="exact"/>
              <w:rPr>
                <w:rFonts w:ascii="Arial" w:cs="Arial" w:eastAsia="Arial" w:hAnsi="Arial"/>
                <w:sz w:val="19"/>
                <w:szCs w:val="19"/>
                <w:color w:val="0000FF"/>
              </w:rPr>
            </w:pPr>
            <w:hyperlink w:anchor="page3">
              <w:r>
                <w:rPr>
                  <w:rFonts w:ascii="Arial" w:cs="Arial" w:eastAsia="Arial" w:hAnsi="Arial"/>
                  <w:sz w:val="19"/>
                  <w:szCs w:val="19"/>
                  <w:color w:val="0000FF"/>
                </w:rPr>
                <w:t xml:space="preserve">Months Ended </w:t>
              </w:r>
            </w:hyperlink>
            <w:r>
              <w:rPr>
                <w:rFonts w:ascii="Arial" w:cs="Arial" w:eastAsia="Arial" w:hAnsi="Arial"/>
                <w:sz w:val="19"/>
                <w:szCs w:val="19"/>
                <w:color w:val="0000FF"/>
              </w:rPr>
              <w:t xml:space="preserve">September 30, 2021 </w:t>
            </w:r>
            <w:hyperlink w:anchor="page3">
              <w:r>
                <w:rPr>
                  <w:rFonts w:ascii="Arial" w:cs="Arial" w:eastAsia="Arial" w:hAnsi="Arial"/>
                  <w:sz w:val="19"/>
                  <w:szCs w:val="19"/>
                  <w:color w:val="0000FF"/>
                </w:rPr>
                <w:t xml:space="preserve">and </w:t>
              </w:r>
            </w:hyperlink>
            <w:r>
              <w:rPr>
                <w:rFonts w:ascii="Arial" w:cs="Arial" w:eastAsia="Arial" w:hAnsi="Arial"/>
                <w:sz w:val="19"/>
                <w:szCs w:val="19"/>
                <w:color w:val="0000FF"/>
              </w:rPr>
              <w:t>2020</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02"/>
        </w:trPr>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60" w:type="dxa"/>
            <w:vAlign w:val="bottom"/>
            <w:gridSpan w:val="20"/>
            <w:shd w:val="clear" w:color="auto" w:fill="CCEEFF"/>
          </w:tcPr>
          <w:p>
            <w:pPr>
              <w:spacing w:after="0" w:line="203" w:lineRule="exact"/>
              <w:rPr>
                <w:rFonts w:ascii="Arial" w:cs="Arial" w:eastAsia="Arial" w:hAnsi="Arial"/>
                <w:sz w:val="20"/>
                <w:szCs w:val="20"/>
                <w:color w:val="0000FF"/>
                <w:w w:val="99"/>
              </w:rPr>
            </w:pPr>
            <w:hyperlink w:anchor="page4">
              <w:r>
                <w:rPr>
                  <w:rFonts w:ascii="Arial" w:cs="Arial" w:eastAsia="Arial" w:hAnsi="Arial"/>
                  <w:sz w:val="20"/>
                  <w:szCs w:val="20"/>
                  <w:color w:val="0000FF"/>
                  <w:w w:val="99"/>
                </w:rPr>
                <w:t xml:space="preserve">Unaudited Consolidated Statements of Stockholders’ Equity for the </w:t>
              </w:r>
            </w:hyperlink>
            <w:r>
              <w:rPr>
                <w:rFonts w:ascii="Arial" w:cs="Arial" w:eastAsia="Arial" w:hAnsi="Arial"/>
                <w:sz w:val="20"/>
                <w:szCs w:val="20"/>
                <w:color w:val="0000FF"/>
                <w:w w:val="99"/>
              </w:rPr>
              <w:t xml:space="preserve">Three and Nine </w:t>
            </w:r>
            <w:hyperlink w:anchor="page4">
              <w:r>
                <w:rPr>
                  <w:rFonts w:ascii="Arial" w:cs="Arial" w:eastAsia="Arial" w:hAnsi="Arial"/>
                  <w:sz w:val="20"/>
                  <w:szCs w:val="20"/>
                  <w:color w:val="0000FF"/>
                  <w:w w:val="99"/>
                </w:rPr>
                <w:t>Months Ended</w:t>
              </w:r>
            </w:hyperlink>
          </w:p>
        </w:tc>
        <w:tc>
          <w:tcPr>
            <w:tcW w:w="1520" w:type="dxa"/>
            <w:vAlign w:val="bottom"/>
            <w:shd w:val="clear" w:color="auto" w:fill="CCEEFF"/>
          </w:tcPr>
          <w:p>
            <w:pPr>
              <w:jc w:val="right"/>
              <w:spacing w:after="0" w:line="202" w:lineRule="exact"/>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169"/>
        </w:trPr>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7820" w:type="dxa"/>
            <w:vAlign w:val="bottom"/>
            <w:tcBorders>
              <w:top w:val="single" w:sz="8" w:color="0000FF"/>
            </w:tcBorders>
            <w:gridSpan w:val="17"/>
            <w:shd w:val="clear" w:color="auto" w:fill="CCEEFF"/>
          </w:tcPr>
          <w:p>
            <w:pPr>
              <w:spacing w:after="0" w:line="169" w:lineRule="exact"/>
              <w:rPr>
                <w:rFonts w:ascii="Arial" w:cs="Arial" w:eastAsia="Arial" w:hAnsi="Arial"/>
                <w:sz w:val="19"/>
                <w:szCs w:val="19"/>
                <w:color w:val="0000FF"/>
              </w:rPr>
            </w:pPr>
            <w:r>
              <w:rPr>
                <w:rFonts w:ascii="Arial" w:cs="Arial" w:eastAsia="Arial" w:hAnsi="Arial"/>
                <w:sz w:val="19"/>
                <w:szCs w:val="19"/>
                <w:color w:val="0000FF"/>
              </w:rPr>
              <w:t xml:space="preserve">September 30, 2021 </w:t>
            </w:r>
            <w:hyperlink w:anchor="page4">
              <w:r>
                <w:rPr>
                  <w:rFonts w:ascii="Arial" w:cs="Arial" w:eastAsia="Arial" w:hAnsi="Arial"/>
                  <w:sz w:val="19"/>
                  <w:szCs w:val="19"/>
                  <w:color w:val="0000FF"/>
                </w:rPr>
                <w:t xml:space="preserve">and </w:t>
              </w:r>
            </w:hyperlink>
            <w:r>
              <w:rPr>
                <w:rFonts w:ascii="Arial" w:cs="Arial" w:eastAsia="Arial" w:hAnsi="Arial"/>
                <w:sz w:val="19"/>
                <w:szCs w:val="19"/>
                <w:color w:val="0000FF"/>
              </w:rPr>
              <w:t>2020</w:t>
            </w:r>
          </w:p>
        </w:tc>
        <w:tc>
          <w:tcPr>
            <w:tcW w:w="380" w:type="dxa"/>
            <w:vAlign w:val="bottom"/>
            <w:tcBorders>
              <w:top w:val="single" w:sz="8" w:color="CCEEFF"/>
            </w:tcBorders>
            <w:gridSpan w:val="2"/>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CCEEFF"/>
            </w:tcBorders>
            <w:shd w:val="clear" w:color="auto" w:fill="CCEEFF"/>
          </w:tcPr>
          <w:p>
            <w:pPr>
              <w:spacing w:after="0"/>
              <w:rPr>
                <w:sz w:val="14"/>
                <w:szCs w:val="14"/>
                <w:color w:val="auto"/>
              </w:rPr>
            </w:pPr>
          </w:p>
        </w:tc>
      </w:tr>
      <w:tr>
        <w:trPr>
          <w:trHeight w:val="20"/>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60" w:type="dxa"/>
            <w:vAlign w:val="bottom"/>
            <w:gridSpan w:val="20"/>
          </w:tcPr>
          <w:p>
            <w:pPr>
              <w:spacing w:after="0" w:line="203" w:lineRule="exact"/>
              <w:rPr>
                <w:rFonts w:ascii="Arial" w:cs="Arial" w:eastAsia="Arial" w:hAnsi="Arial"/>
                <w:sz w:val="20"/>
                <w:szCs w:val="20"/>
                <w:color w:val="0000FF"/>
                <w:w w:val="93"/>
              </w:rPr>
            </w:pPr>
            <w:hyperlink w:anchor="page5">
              <w:r>
                <w:rPr>
                  <w:rFonts w:ascii="Arial" w:cs="Arial" w:eastAsia="Arial" w:hAnsi="Arial"/>
                  <w:sz w:val="20"/>
                  <w:szCs w:val="20"/>
                  <w:color w:val="0000FF"/>
                  <w:w w:val="93"/>
                </w:rPr>
                <w:t xml:space="preserve">Unaudited Consolidated Statements of Cash Flows for the </w:t>
              </w:r>
            </w:hyperlink>
            <w:r>
              <w:rPr>
                <w:rFonts w:ascii="Arial" w:cs="Arial" w:eastAsia="Arial" w:hAnsi="Arial"/>
                <w:sz w:val="20"/>
                <w:szCs w:val="20"/>
                <w:color w:val="0000FF"/>
                <w:w w:val="93"/>
              </w:rPr>
              <w:t xml:space="preserve">Nine Months Ended September 30, 2021 </w:t>
            </w:r>
            <w:hyperlink w:anchor="page5">
              <w:r>
                <w:rPr>
                  <w:rFonts w:ascii="Arial" w:cs="Arial" w:eastAsia="Arial" w:hAnsi="Arial"/>
                  <w:sz w:val="20"/>
                  <w:szCs w:val="20"/>
                  <w:color w:val="0000FF"/>
                  <w:w w:val="93"/>
                </w:rPr>
                <w:t>and</w:t>
              </w:r>
            </w:hyperlink>
          </w:p>
        </w:tc>
        <w:tc>
          <w:tcPr>
            <w:tcW w:w="1520" w:type="dxa"/>
            <w:vAlign w:val="bottom"/>
          </w:tcPr>
          <w:p>
            <w:pPr>
              <w:jc w:val="right"/>
              <w:spacing w:after="0" w:line="202" w:lineRule="exact"/>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169"/>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9"/>
                <w:szCs w:val="19"/>
                <w:color w:val="0000FF"/>
                <w:w w:val="85"/>
              </w:rPr>
              <w:t>2020</w:t>
            </w:r>
          </w:p>
        </w:tc>
        <w:tc>
          <w:tcPr>
            <w:tcW w:w="2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5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1"/>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60" w:type="dxa"/>
            <w:vAlign w:val="bottom"/>
            <w:gridSpan w:val="20"/>
            <w:shd w:val="clear" w:color="auto" w:fill="CCEEFF"/>
          </w:tcPr>
          <w:p>
            <w:pPr>
              <w:spacing w:after="0" w:line="203" w:lineRule="exact"/>
              <w:rPr>
                <w:rFonts w:ascii="Arial" w:cs="Arial" w:eastAsia="Arial" w:hAnsi="Arial"/>
                <w:sz w:val="20"/>
                <w:szCs w:val="20"/>
                <w:color w:val="0000FF"/>
              </w:rPr>
            </w:pPr>
            <w:hyperlink w:anchor="page6">
              <w:r>
                <w:rPr>
                  <w:rFonts w:ascii="Arial" w:cs="Arial" w:eastAsia="Arial" w:hAnsi="Arial"/>
                  <w:sz w:val="20"/>
                  <w:szCs w:val="20"/>
                  <w:color w:val="0000FF"/>
                </w:rPr>
                <w:t>Notes to Unaudited Consolidated Financial Statements</w:t>
              </w:r>
            </w:hyperlink>
          </w:p>
        </w:tc>
        <w:tc>
          <w:tcPr>
            <w:tcW w:w="1520" w:type="dxa"/>
            <w:vAlign w:val="bottom"/>
            <w:shd w:val="clear" w:color="auto" w:fill="CCEEFF"/>
          </w:tcPr>
          <w:p>
            <w:pPr>
              <w:jc w:val="right"/>
              <w:spacing w:after="0" w:line="202" w:lineRule="exact"/>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0"/>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1060" w:type="dxa"/>
            <w:vAlign w:val="bottom"/>
            <w:gridSpan w:val="6"/>
          </w:tcPr>
          <w:p>
            <w:pPr>
              <w:ind w:left="60"/>
              <w:spacing w:after="0" w:line="203" w:lineRule="exact"/>
              <w:rPr>
                <w:rFonts w:ascii="Arial" w:cs="Arial" w:eastAsia="Arial" w:hAnsi="Arial"/>
                <w:sz w:val="20"/>
                <w:szCs w:val="20"/>
                <w:color w:val="0000FF"/>
              </w:rPr>
            </w:pPr>
            <w:hyperlink w:anchor="page21">
              <w:r>
                <w:rPr>
                  <w:rFonts w:ascii="Arial" w:cs="Arial" w:eastAsia="Arial" w:hAnsi="Arial"/>
                  <w:sz w:val="20"/>
                  <w:szCs w:val="20"/>
                  <w:color w:val="0000FF"/>
                </w:rPr>
                <w:t>Item 2.</w:t>
              </w:r>
            </w:hyperlink>
          </w:p>
        </w:tc>
        <w:tc>
          <w:tcPr>
            <w:tcW w:w="8660" w:type="dxa"/>
            <w:vAlign w:val="bottom"/>
            <w:gridSpan w:val="20"/>
          </w:tcPr>
          <w:p>
            <w:pPr>
              <w:spacing w:after="0" w:line="203" w:lineRule="exact"/>
              <w:rPr>
                <w:rFonts w:ascii="Arial" w:cs="Arial" w:eastAsia="Arial" w:hAnsi="Arial"/>
                <w:sz w:val="20"/>
                <w:szCs w:val="20"/>
                <w:color w:val="0000FF"/>
              </w:rPr>
            </w:pPr>
            <w:hyperlink w:anchor="page21">
              <w:r>
                <w:rPr>
                  <w:rFonts w:ascii="Arial" w:cs="Arial" w:eastAsia="Arial" w:hAnsi="Arial"/>
                  <w:sz w:val="20"/>
                  <w:szCs w:val="20"/>
                  <w:color w:val="0000FF"/>
                </w:rPr>
                <w:t>Management’s Discussion and Analysis of Financial Condition and Results of Operations</w:t>
              </w:r>
            </w:hyperlink>
          </w:p>
        </w:tc>
        <w:tc>
          <w:tcPr>
            <w:tcW w:w="1520" w:type="dxa"/>
            <w:vAlign w:val="bottom"/>
          </w:tcPr>
          <w:p>
            <w:pPr>
              <w:jc w:val="right"/>
              <w:spacing w:after="0" w:line="202" w:lineRule="exact"/>
              <w:rPr>
                <w:rFonts w:ascii="Arial" w:cs="Arial" w:eastAsia="Arial" w:hAnsi="Arial"/>
                <w:sz w:val="18"/>
                <w:szCs w:val="18"/>
                <w:color w:val="auto"/>
              </w:rPr>
            </w:pPr>
            <w:hyperlink w:anchor="page21">
              <w:r>
                <w:rPr>
                  <w:rFonts w:ascii="Arial" w:cs="Arial" w:eastAsia="Arial" w:hAnsi="Arial"/>
                  <w:sz w:val="18"/>
                  <w:szCs w:val="18"/>
                  <w:color w:val="auto"/>
                </w:rPr>
                <w:t>21</w:t>
              </w:r>
            </w:hyperlink>
          </w:p>
        </w:tc>
      </w:tr>
      <w:tr>
        <w:trPr>
          <w:trHeight w:val="21"/>
        </w:trPr>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02"/>
        </w:trPr>
        <w:tc>
          <w:tcPr>
            <w:tcW w:w="60" w:type="dxa"/>
            <w:vAlign w:val="bottom"/>
            <w:shd w:val="clear" w:color="auto" w:fill="CCEEFF"/>
          </w:tcPr>
          <w:p>
            <w:pPr>
              <w:spacing w:after="0"/>
              <w:rPr>
                <w:sz w:val="17"/>
                <w:szCs w:val="17"/>
                <w:color w:val="auto"/>
              </w:rPr>
            </w:pPr>
          </w:p>
        </w:tc>
        <w:tc>
          <w:tcPr>
            <w:tcW w:w="1000" w:type="dxa"/>
            <w:vAlign w:val="bottom"/>
            <w:gridSpan w:val="5"/>
            <w:shd w:val="clear" w:color="auto" w:fill="CCEEFF"/>
          </w:tcPr>
          <w:p>
            <w:pPr>
              <w:spacing w:after="0" w:line="203" w:lineRule="exact"/>
              <w:rPr>
                <w:rFonts w:ascii="Arial" w:cs="Arial" w:eastAsia="Arial" w:hAnsi="Arial"/>
                <w:sz w:val="20"/>
                <w:szCs w:val="20"/>
                <w:color w:val="0000FF"/>
              </w:rPr>
            </w:pPr>
            <w:hyperlink w:anchor="page33">
              <w:r>
                <w:rPr>
                  <w:rFonts w:ascii="Arial" w:cs="Arial" w:eastAsia="Arial" w:hAnsi="Arial"/>
                  <w:sz w:val="20"/>
                  <w:szCs w:val="20"/>
                  <w:color w:val="0000FF"/>
                </w:rPr>
                <w:t>Item 3.</w:t>
              </w:r>
            </w:hyperlink>
          </w:p>
        </w:tc>
        <w:tc>
          <w:tcPr>
            <w:tcW w:w="8660" w:type="dxa"/>
            <w:vAlign w:val="bottom"/>
            <w:gridSpan w:val="20"/>
            <w:shd w:val="clear" w:color="auto" w:fill="CCEEFF"/>
          </w:tcPr>
          <w:p>
            <w:pPr>
              <w:spacing w:after="0" w:line="203" w:lineRule="exact"/>
              <w:rPr>
                <w:rFonts w:ascii="Arial" w:cs="Arial" w:eastAsia="Arial" w:hAnsi="Arial"/>
                <w:sz w:val="20"/>
                <w:szCs w:val="20"/>
                <w:color w:val="0000FF"/>
              </w:rPr>
            </w:pPr>
            <w:hyperlink w:anchor="page33">
              <w:r>
                <w:rPr>
                  <w:rFonts w:ascii="Arial" w:cs="Arial" w:eastAsia="Arial" w:hAnsi="Arial"/>
                  <w:sz w:val="20"/>
                  <w:szCs w:val="20"/>
                  <w:color w:val="0000FF"/>
                </w:rPr>
                <w:t>Quantitative and Qualitative Disclosures About Market Risk</w:t>
              </w:r>
            </w:hyperlink>
          </w:p>
        </w:tc>
        <w:tc>
          <w:tcPr>
            <w:tcW w:w="1520" w:type="dxa"/>
            <w:vAlign w:val="bottom"/>
            <w:shd w:val="clear" w:color="auto" w:fill="CCEEFF"/>
          </w:tcPr>
          <w:p>
            <w:pPr>
              <w:jc w:val="right"/>
              <w:spacing w:after="0" w:line="202" w:lineRule="exact"/>
              <w:rPr>
                <w:rFonts w:ascii="Arial" w:cs="Arial" w:eastAsia="Arial" w:hAnsi="Arial"/>
                <w:sz w:val="18"/>
                <w:szCs w:val="18"/>
                <w:color w:val="auto"/>
              </w:rPr>
            </w:pPr>
            <w:hyperlink w:anchor="page33">
              <w:r>
                <w:rPr>
                  <w:rFonts w:ascii="Arial" w:cs="Arial" w:eastAsia="Arial" w:hAnsi="Arial"/>
                  <w:sz w:val="18"/>
                  <w:szCs w:val="18"/>
                  <w:color w:val="auto"/>
                </w:rPr>
                <w:t>32</w:t>
              </w:r>
            </w:hyperlink>
          </w:p>
        </w:tc>
      </w:tr>
      <w:tr>
        <w:trPr>
          <w:trHeight w:val="21"/>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1000" w:type="dxa"/>
            <w:vAlign w:val="bottom"/>
            <w:gridSpan w:val="5"/>
          </w:tcPr>
          <w:p>
            <w:pPr>
              <w:spacing w:after="0" w:line="203" w:lineRule="exact"/>
              <w:rPr>
                <w:rFonts w:ascii="Arial" w:cs="Arial" w:eastAsia="Arial" w:hAnsi="Arial"/>
                <w:sz w:val="20"/>
                <w:szCs w:val="20"/>
                <w:color w:val="0000FF"/>
              </w:rPr>
            </w:pPr>
            <w:hyperlink w:anchor="page33">
              <w:r>
                <w:rPr>
                  <w:rFonts w:ascii="Arial" w:cs="Arial" w:eastAsia="Arial" w:hAnsi="Arial"/>
                  <w:sz w:val="20"/>
                  <w:szCs w:val="20"/>
                  <w:color w:val="0000FF"/>
                </w:rPr>
                <w:t>Item 4.</w:t>
              </w:r>
            </w:hyperlink>
          </w:p>
        </w:tc>
        <w:tc>
          <w:tcPr>
            <w:tcW w:w="8660" w:type="dxa"/>
            <w:vAlign w:val="bottom"/>
            <w:gridSpan w:val="20"/>
          </w:tcPr>
          <w:p>
            <w:pPr>
              <w:spacing w:after="0" w:line="203" w:lineRule="exact"/>
              <w:rPr>
                <w:rFonts w:ascii="Arial" w:cs="Arial" w:eastAsia="Arial" w:hAnsi="Arial"/>
                <w:sz w:val="20"/>
                <w:szCs w:val="20"/>
                <w:color w:val="0000FF"/>
              </w:rPr>
            </w:pPr>
            <w:hyperlink w:anchor="page33">
              <w:r>
                <w:rPr>
                  <w:rFonts w:ascii="Arial" w:cs="Arial" w:eastAsia="Arial" w:hAnsi="Arial"/>
                  <w:sz w:val="20"/>
                  <w:szCs w:val="20"/>
                  <w:color w:val="0000FF"/>
                </w:rPr>
                <w:t>Controls and Procedures</w:t>
              </w:r>
            </w:hyperlink>
          </w:p>
        </w:tc>
        <w:tc>
          <w:tcPr>
            <w:tcW w:w="1520" w:type="dxa"/>
            <w:vAlign w:val="bottom"/>
          </w:tcPr>
          <w:p>
            <w:pPr>
              <w:jc w:val="right"/>
              <w:spacing w:after="0" w:line="202" w:lineRule="exact"/>
              <w:rPr>
                <w:rFonts w:ascii="Arial" w:cs="Arial" w:eastAsia="Arial" w:hAnsi="Arial"/>
                <w:sz w:val="18"/>
                <w:szCs w:val="18"/>
                <w:color w:val="auto"/>
              </w:rPr>
            </w:pPr>
            <w:hyperlink w:anchor="page33">
              <w:r>
                <w:rPr>
                  <w:rFonts w:ascii="Arial" w:cs="Arial" w:eastAsia="Arial" w:hAnsi="Arial"/>
                  <w:sz w:val="18"/>
                  <w:szCs w:val="18"/>
                  <w:color w:val="auto"/>
                </w:rPr>
                <w:t>33</w:t>
              </w:r>
            </w:hyperlink>
          </w:p>
        </w:tc>
      </w:tr>
      <w:tr>
        <w:trPr>
          <w:trHeight w:val="20"/>
        </w:trPr>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23"/>
        </w:trPr>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520" w:type="dxa"/>
            <w:vAlign w:val="bottom"/>
            <w:gridSpan w:val="11"/>
            <w:shd w:val="clear" w:color="auto" w:fill="CCEEFF"/>
          </w:tcPr>
          <w:p>
            <w:pPr>
              <w:jc w:val="center"/>
              <w:ind w:right="3160"/>
              <w:spacing w:after="0" w:line="203" w:lineRule="exact"/>
              <w:rPr>
                <w:rFonts w:ascii="Arial" w:cs="Arial" w:eastAsia="Arial" w:hAnsi="Arial"/>
                <w:sz w:val="20"/>
                <w:szCs w:val="20"/>
                <w:b w:val="1"/>
                <w:bCs w:val="1"/>
                <w:color w:val="0000FF"/>
                <w:w w:val="96"/>
              </w:rPr>
            </w:pPr>
            <w:hyperlink w:anchor="page34">
              <w:r>
                <w:rPr>
                  <w:rFonts w:ascii="Arial" w:cs="Arial" w:eastAsia="Arial" w:hAnsi="Arial"/>
                  <w:sz w:val="20"/>
                  <w:szCs w:val="20"/>
                  <w:b w:val="1"/>
                  <w:bCs w:val="1"/>
                  <w:color w:val="0000FF"/>
                  <w:w w:val="96"/>
                </w:rPr>
                <w:t>Part II—Other Information</w:t>
              </w:r>
            </w:hyperlink>
          </w:p>
        </w:tc>
        <w:tc>
          <w:tcPr>
            <w:tcW w:w="1520" w:type="dxa"/>
            <w:vAlign w:val="bottom"/>
            <w:shd w:val="clear" w:color="auto" w:fill="CCEEFF"/>
          </w:tcPr>
          <w:p>
            <w:pPr>
              <w:spacing w:after="0"/>
              <w:rPr>
                <w:sz w:val="19"/>
                <w:szCs w:val="19"/>
                <w:color w:val="auto"/>
              </w:rPr>
            </w:pPr>
          </w:p>
        </w:tc>
      </w:tr>
      <w:tr>
        <w:trPr>
          <w:trHeight w:val="203"/>
        </w:trPr>
        <w:tc>
          <w:tcPr>
            <w:tcW w:w="1060" w:type="dxa"/>
            <w:vAlign w:val="bottom"/>
            <w:tcBorders>
              <w:top w:val="single" w:sz="8" w:color="CCEEFF"/>
            </w:tcBorders>
            <w:gridSpan w:val="6"/>
          </w:tcPr>
          <w:p>
            <w:pPr>
              <w:ind w:left="60"/>
              <w:spacing w:after="0" w:line="203" w:lineRule="exact"/>
              <w:rPr>
                <w:rFonts w:ascii="Arial" w:cs="Arial" w:eastAsia="Arial" w:hAnsi="Arial"/>
                <w:sz w:val="20"/>
                <w:szCs w:val="20"/>
                <w:color w:val="0000FF"/>
              </w:rPr>
            </w:pPr>
            <w:hyperlink w:anchor="page35">
              <w:r>
                <w:rPr>
                  <w:rFonts w:ascii="Arial" w:cs="Arial" w:eastAsia="Arial" w:hAnsi="Arial"/>
                  <w:sz w:val="20"/>
                  <w:szCs w:val="20"/>
                  <w:color w:val="0000FF"/>
                </w:rPr>
                <w:t>Item 1.</w:t>
              </w:r>
            </w:hyperlink>
          </w:p>
        </w:tc>
        <w:tc>
          <w:tcPr>
            <w:tcW w:w="3140" w:type="dxa"/>
            <w:vAlign w:val="bottom"/>
            <w:tcBorders>
              <w:top w:val="single" w:sz="8" w:color="CCEEFF"/>
            </w:tcBorders>
            <w:gridSpan w:val="9"/>
          </w:tcPr>
          <w:p>
            <w:pPr>
              <w:spacing w:after="0" w:line="203" w:lineRule="exact"/>
              <w:rPr>
                <w:rFonts w:ascii="Arial" w:cs="Arial" w:eastAsia="Arial" w:hAnsi="Arial"/>
                <w:sz w:val="20"/>
                <w:szCs w:val="20"/>
                <w:color w:val="0000FF"/>
              </w:rPr>
            </w:pPr>
            <w:hyperlink w:anchor="page35">
              <w:r>
                <w:rPr>
                  <w:rFonts w:ascii="Arial" w:cs="Arial" w:eastAsia="Arial" w:hAnsi="Arial"/>
                  <w:sz w:val="20"/>
                  <w:szCs w:val="20"/>
                  <w:color w:val="0000FF"/>
                </w:rPr>
                <w:t>Legal Proceedings</w:t>
              </w:r>
            </w:hyperlink>
          </w:p>
        </w:tc>
        <w:tc>
          <w:tcPr>
            <w:tcW w:w="2360" w:type="dxa"/>
            <w:vAlign w:val="bottom"/>
            <w:tcBorders>
              <w:top w:val="single" w:sz="8" w:color="0000FF"/>
            </w:tcBorders>
            <w:gridSpan w:val="4"/>
          </w:tcPr>
          <w:p>
            <w:pPr>
              <w:spacing w:after="0"/>
              <w:rPr>
                <w:sz w:val="17"/>
                <w:szCs w:val="17"/>
                <w:color w:val="auto"/>
              </w:rPr>
            </w:pPr>
          </w:p>
        </w:tc>
        <w:tc>
          <w:tcPr>
            <w:tcW w:w="3160" w:type="dxa"/>
            <w:vAlign w:val="bottom"/>
            <w:tcBorders>
              <w:top w:val="single" w:sz="8" w:color="CCEEFF"/>
            </w:tcBorders>
            <w:gridSpan w:val="7"/>
          </w:tcPr>
          <w:p>
            <w:pPr>
              <w:spacing w:after="0"/>
              <w:rPr>
                <w:sz w:val="17"/>
                <w:szCs w:val="17"/>
                <w:color w:val="auto"/>
              </w:rPr>
            </w:pPr>
          </w:p>
        </w:tc>
        <w:tc>
          <w:tcPr>
            <w:tcW w:w="1520" w:type="dxa"/>
            <w:vAlign w:val="bottom"/>
            <w:tcBorders>
              <w:top w:val="single" w:sz="8" w:color="CCEEFF"/>
            </w:tcBorders>
          </w:tcPr>
          <w:p>
            <w:pPr>
              <w:jc w:val="right"/>
              <w:spacing w:after="0" w:line="202" w:lineRule="exact"/>
              <w:rPr>
                <w:rFonts w:ascii="Arial" w:cs="Arial" w:eastAsia="Arial" w:hAnsi="Arial"/>
                <w:sz w:val="18"/>
                <w:szCs w:val="18"/>
                <w:color w:val="auto"/>
              </w:rPr>
            </w:pPr>
            <w:hyperlink w:anchor="page35">
              <w:r>
                <w:rPr>
                  <w:rFonts w:ascii="Arial" w:cs="Arial" w:eastAsia="Arial" w:hAnsi="Arial"/>
                  <w:sz w:val="18"/>
                  <w:szCs w:val="18"/>
                  <w:color w:val="auto"/>
                </w:rPr>
                <w:t>34</w:t>
              </w:r>
            </w:hyperlink>
          </w:p>
        </w:tc>
      </w:tr>
      <w:tr>
        <w:trPr>
          <w:trHeight w:val="20"/>
        </w:trPr>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1000" w:type="dxa"/>
            <w:vAlign w:val="bottom"/>
            <w:gridSpan w:val="5"/>
            <w:shd w:val="clear" w:color="auto" w:fill="CCEEFF"/>
          </w:tcPr>
          <w:p>
            <w:pPr>
              <w:spacing w:after="0" w:line="203" w:lineRule="exact"/>
              <w:rPr>
                <w:rFonts w:ascii="Arial" w:cs="Arial" w:eastAsia="Arial" w:hAnsi="Arial"/>
                <w:sz w:val="20"/>
                <w:szCs w:val="20"/>
                <w:color w:val="0000FF"/>
              </w:rPr>
            </w:pPr>
            <w:hyperlink w:anchor="page35">
              <w:r>
                <w:rPr>
                  <w:rFonts w:ascii="Arial" w:cs="Arial" w:eastAsia="Arial" w:hAnsi="Arial"/>
                  <w:sz w:val="20"/>
                  <w:szCs w:val="20"/>
                  <w:color w:val="0000FF"/>
                </w:rPr>
                <w:t>Item 1A.</w:t>
              </w:r>
            </w:hyperlink>
          </w:p>
        </w:tc>
        <w:tc>
          <w:tcPr>
            <w:tcW w:w="8660" w:type="dxa"/>
            <w:vAlign w:val="bottom"/>
            <w:gridSpan w:val="20"/>
            <w:shd w:val="clear" w:color="auto" w:fill="CCEEFF"/>
          </w:tcPr>
          <w:p>
            <w:pPr>
              <w:spacing w:after="0" w:line="203" w:lineRule="exact"/>
              <w:rPr>
                <w:rFonts w:ascii="Arial" w:cs="Arial" w:eastAsia="Arial" w:hAnsi="Arial"/>
                <w:sz w:val="20"/>
                <w:szCs w:val="20"/>
                <w:color w:val="0000FF"/>
              </w:rPr>
            </w:pPr>
            <w:hyperlink w:anchor="page35">
              <w:r>
                <w:rPr>
                  <w:rFonts w:ascii="Arial" w:cs="Arial" w:eastAsia="Arial" w:hAnsi="Arial"/>
                  <w:sz w:val="20"/>
                  <w:szCs w:val="20"/>
                  <w:color w:val="0000FF"/>
                </w:rPr>
                <w:t>Risk Factors</w:t>
              </w:r>
            </w:hyperlink>
          </w:p>
        </w:tc>
        <w:tc>
          <w:tcPr>
            <w:tcW w:w="1520" w:type="dxa"/>
            <w:vAlign w:val="bottom"/>
            <w:shd w:val="clear" w:color="auto" w:fill="CCEEFF"/>
          </w:tcPr>
          <w:p>
            <w:pPr>
              <w:jc w:val="right"/>
              <w:spacing w:after="0" w:line="202" w:lineRule="exact"/>
              <w:rPr>
                <w:rFonts w:ascii="Arial" w:cs="Arial" w:eastAsia="Arial" w:hAnsi="Arial"/>
                <w:sz w:val="18"/>
                <w:szCs w:val="18"/>
                <w:color w:val="auto"/>
              </w:rPr>
            </w:pPr>
            <w:hyperlink w:anchor="page35">
              <w:r>
                <w:rPr>
                  <w:rFonts w:ascii="Arial" w:cs="Arial" w:eastAsia="Arial" w:hAnsi="Arial"/>
                  <w:sz w:val="18"/>
                  <w:szCs w:val="18"/>
                  <w:color w:val="auto"/>
                </w:rPr>
                <w:t>34</w:t>
              </w:r>
            </w:hyperlink>
          </w:p>
        </w:tc>
      </w:tr>
      <w:tr>
        <w:trPr>
          <w:trHeight w:val="21"/>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202"/>
        </w:trPr>
        <w:tc>
          <w:tcPr>
            <w:tcW w:w="60" w:type="dxa"/>
            <w:vAlign w:val="bottom"/>
          </w:tcPr>
          <w:p>
            <w:pPr>
              <w:spacing w:after="0"/>
              <w:rPr>
                <w:sz w:val="17"/>
                <w:szCs w:val="17"/>
                <w:color w:val="auto"/>
              </w:rPr>
            </w:pPr>
          </w:p>
        </w:tc>
        <w:tc>
          <w:tcPr>
            <w:tcW w:w="700" w:type="dxa"/>
            <w:vAlign w:val="bottom"/>
            <w:gridSpan w:val="4"/>
          </w:tcPr>
          <w:p>
            <w:pPr>
              <w:spacing w:after="0" w:line="203" w:lineRule="exact"/>
              <w:rPr>
                <w:rFonts w:ascii="Arial" w:cs="Arial" w:eastAsia="Arial" w:hAnsi="Arial"/>
                <w:sz w:val="20"/>
                <w:szCs w:val="20"/>
                <w:color w:val="0000FF"/>
              </w:rPr>
            </w:pPr>
            <w:hyperlink w:anchor="page35">
              <w:r>
                <w:rPr>
                  <w:rFonts w:ascii="Arial" w:cs="Arial" w:eastAsia="Arial" w:hAnsi="Arial"/>
                  <w:sz w:val="20"/>
                  <w:szCs w:val="20"/>
                  <w:color w:val="0000FF"/>
                </w:rPr>
                <w:t>Item 2.</w:t>
              </w:r>
            </w:hyperlink>
          </w:p>
        </w:tc>
        <w:tc>
          <w:tcPr>
            <w:tcW w:w="300" w:type="dxa"/>
            <w:vAlign w:val="bottom"/>
          </w:tcPr>
          <w:p>
            <w:pPr>
              <w:spacing w:after="0"/>
              <w:rPr>
                <w:sz w:val="17"/>
                <w:szCs w:val="17"/>
                <w:color w:val="auto"/>
              </w:rPr>
            </w:pPr>
          </w:p>
        </w:tc>
        <w:tc>
          <w:tcPr>
            <w:tcW w:w="8660" w:type="dxa"/>
            <w:vAlign w:val="bottom"/>
            <w:gridSpan w:val="20"/>
          </w:tcPr>
          <w:p>
            <w:pPr>
              <w:spacing w:after="0" w:line="203" w:lineRule="exact"/>
              <w:rPr>
                <w:rFonts w:ascii="Arial" w:cs="Arial" w:eastAsia="Arial" w:hAnsi="Arial"/>
                <w:sz w:val="20"/>
                <w:szCs w:val="20"/>
                <w:color w:val="0000FF"/>
              </w:rPr>
            </w:pPr>
            <w:hyperlink w:anchor="page35">
              <w:r>
                <w:rPr>
                  <w:rFonts w:ascii="Arial" w:cs="Arial" w:eastAsia="Arial" w:hAnsi="Arial"/>
                  <w:sz w:val="20"/>
                  <w:szCs w:val="20"/>
                  <w:color w:val="0000FF"/>
                </w:rPr>
                <w:t>Unregistered Sales of Equity Securities and Use of Proceeds</w:t>
              </w:r>
            </w:hyperlink>
          </w:p>
        </w:tc>
        <w:tc>
          <w:tcPr>
            <w:tcW w:w="1520" w:type="dxa"/>
            <w:vAlign w:val="bottom"/>
          </w:tcPr>
          <w:p>
            <w:pPr>
              <w:jc w:val="right"/>
              <w:spacing w:after="0" w:line="202" w:lineRule="exact"/>
              <w:rPr>
                <w:rFonts w:ascii="Arial" w:cs="Arial" w:eastAsia="Arial" w:hAnsi="Arial"/>
                <w:sz w:val="18"/>
                <w:szCs w:val="18"/>
                <w:color w:val="auto"/>
              </w:rPr>
            </w:pPr>
            <w:hyperlink w:anchor="page35">
              <w:r>
                <w:rPr>
                  <w:rFonts w:ascii="Arial" w:cs="Arial" w:eastAsia="Arial" w:hAnsi="Arial"/>
                  <w:sz w:val="18"/>
                  <w:szCs w:val="18"/>
                  <w:color w:val="auto"/>
                </w:rPr>
                <w:t>34</w:t>
              </w:r>
            </w:hyperlink>
          </w:p>
        </w:tc>
      </w:tr>
      <w:tr>
        <w:trPr>
          <w:trHeight w:val="21"/>
        </w:trPr>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03"/>
        </w:trPr>
        <w:tc>
          <w:tcPr>
            <w:tcW w:w="1060" w:type="dxa"/>
            <w:vAlign w:val="bottom"/>
            <w:gridSpan w:val="6"/>
            <w:shd w:val="clear" w:color="auto" w:fill="CCEEFF"/>
          </w:tcPr>
          <w:p>
            <w:pPr>
              <w:ind w:left="60"/>
              <w:spacing w:after="0" w:line="203" w:lineRule="exact"/>
              <w:rPr>
                <w:rFonts w:ascii="Arial" w:cs="Arial" w:eastAsia="Arial" w:hAnsi="Arial"/>
                <w:sz w:val="20"/>
                <w:szCs w:val="20"/>
                <w:color w:val="0000FF"/>
              </w:rPr>
            </w:pPr>
            <w:hyperlink w:anchor="page35">
              <w:r>
                <w:rPr>
                  <w:rFonts w:ascii="Arial" w:cs="Arial" w:eastAsia="Arial" w:hAnsi="Arial"/>
                  <w:sz w:val="20"/>
                  <w:szCs w:val="20"/>
                  <w:color w:val="0000FF"/>
                </w:rPr>
                <w:t>Item 6.</w:t>
              </w:r>
            </w:hyperlink>
          </w:p>
        </w:tc>
        <w:tc>
          <w:tcPr>
            <w:tcW w:w="8660" w:type="dxa"/>
            <w:vAlign w:val="bottom"/>
            <w:gridSpan w:val="20"/>
            <w:shd w:val="clear" w:color="auto" w:fill="CCEEFF"/>
          </w:tcPr>
          <w:p>
            <w:pPr>
              <w:spacing w:after="0" w:line="203" w:lineRule="exact"/>
              <w:rPr>
                <w:rFonts w:ascii="Arial" w:cs="Arial" w:eastAsia="Arial" w:hAnsi="Arial"/>
                <w:sz w:val="20"/>
                <w:szCs w:val="20"/>
                <w:color w:val="0000FF"/>
              </w:rPr>
            </w:pPr>
            <w:hyperlink w:anchor="page35">
              <w:r>
                <w:rPr>
                  <w:rFonts w:ascii="Arial" w:cs="Arial" w:eastAsia="Arial" w:hAnsi="Arial"/>
                  <w:sz w:val="20"/>
                  <w:szCs w:val="20"/>
                  <w:color w:val="0000FF"/>
                </w:rPr>
                <w:t>Exhibits</w:t>
              </w:r>
            </w:hyperlink>
          </w:p>
        </w:tc>
        <w:tc>
          <w:tcPr>
            <w:tcW w:w="1520" w:type="dxa"/>
            <w:vAlign w:val="bottom"/>
            <w:shd w:val="clear" w:color="auto" w:fill="CCEEFF"/>
          </w:tcPr>
          <w:p>
            <w:pPr>
              <w:jc w:val="right"/>
              <w:spacing w:after="0" w:line="202" w:lineRule="exact"/>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21"/>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bl>
    <w:p>
      <w:pPr>
        <w:spacing w:after="0" w:line="296"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Throughout this report, references to “MYR Group,” the “Company,” “we,” “us” and “our” refer to MYR Group Inc. and its consolidated subsidiaries, except as otherwise indicated or as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MYR GROUP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b w:val="1"/>
                <w:bCs w:val="1"/>
                <w:color w:val="auto"/>
                <w:w w:val="96"/>
              </w:rPr>
              <w:t>December 31,</w:t>
            </w:r>
          </w:p>
        </w:tc>
      </w:tr>
      <w:tr>
        <w:trPr>
          <w:trHeight w:val="186"/>
        </w:trPr>
        <w:tc>
          <w:tcPr>
            <w:tcW w:w="85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140" w:type="dxa"/>
            <w:vAlign w:val="bottom"/>
          </w:tcPr>
          <w:p>
            <w:pPr>
              <w:spacing w:after="0"/>
              <w:rPr>
                <w:sz w:val="16"/>
                <w:szCs w:val="16"/>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48"/>
              <w:spacing w:after="0"/>
              <w:rPr>
                <w:sz w:val="20"/>
                <w:szCs w:val="20"/>
                <w:color w:val="auto"/>
              </w:rPr>
            </w:pPr>
            <w:r>
              <w:rPr>
                <w:rFonts w:ascii="Arial" w:cs="Arial" w:eastAsia="Arial" w:hAnsi="Arial"/>
                <w:sz w:val="14"/>
                <w:szCs w:val="14"/>
                <w:b w:val="1"/>
                <w:bCs w:val="1"/>
                <w:color w:val="auto"/>
              </w:rPr>
              <w:t>2020</w:t>
            </w:r>
          </w:p>
        </w:tc>
      </w:tr>
      <w:tr>
        <w:trPr>
          <w:trHeight w:val="26"/>
        </w:trPr>
        <w:tc>
          <w:tcPr>
            <w:tcW w:w="8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8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(unaudited)</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3940"/>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191"/>
        </w:trPr>
        <w:tc>
          <w:tcPr>
            <w:tcW w:w="8520" w:type="dxa"/>
            <w:vAlign w:val="bottom"/>
            <w:gridSpan w:val="2"/>
          </w:tcPr>
          <w:p>
            <w:pPr>
              <w:ind w:left="20"/>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73,006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22,668</w:t>
            </w:r>
          </w:p>
        </w:tc>
      </w:tr>
      <w:tr>
        <w:trPr>
          <w:trHeight w:val="190"/>
        </w:trPr>
        <w:tc>
          <w:tcPr>
            <w:tcW w:w="8520" w:type="dxa"/>
            <w:vAlign w:val="bottom"/>
            <w:gridSpan w:val="2"/>
          </w:tcPr>
          <w:p>
            <w:pPr>
              <w:ind w:left="140"/>
              <w:spacing w:after="0"/>
              <w:rPr>
                <w:sz w:val="20"/>
                <w:szCs w:val="20"/>
                <w:color w:val="auto"/>
              </w:rPr>
            </w:pPr>
            <w:r>
              <w:rPr>
                <w:rFonts w:ascii="Arial" w:cs="Arial" w:eastAsia="Arial" w:hAnsi="Arial"/>
                <w:sz w:val="14"/>
                <w:szCs w:val="14"/>
                <w:color w:val="auto"/>
              </w:rPr>
              <w:t>Accounts receivable, net of allowances of $2,166 and $1,696, respectively</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362,032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385,938</w:t>
            </w:r>
          </w:p>
        </w:tc>
      </w:tr>
      <w:tr>
        <w:trPr>
          <w:trHeight w:val="26"/>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Contract assets, net of allowances of $376 and $359, respectively</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219,445</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185,803</w:t>
            </w:r>
          </w:p>
        </w:tc>
      </w:tr>
      <w:tr>
        <w:trPr>
          <w:trHeight w:val="190"/>
        </w:trPr>
        <w:tc>
          <w:tcPr>
            <w:tcW w:w="8520" w:type="dxa"/>
            <w:vAlign w:val="bottom"/>
            <w:gridSpan w:val="2"/>
          </w:tcPr>
          <w:p>
            <w:pPr>
              <w:ind w:left="140"/>
              <w:spacing w:after="0"/>
              <w:rPr>
                <w:sz w:val="20"/>
                <w:szCs w:val="20"/>
                <w:color w:val="auto"/>
              </w:rPr>
            </w:pPr>
            <w:r>
              <w:rPr>
                <w:rFonts w:ascii="Arial" w:cs="Arial" w:eastAsia="Arial" w:hAnsi="Arial"/>
                <w:sz w:val="14"/>
                <w:szCs w:val="14"/>
                <w:color w:val="auto"/>
              </w:rPr>
              <w:t>Current portion of receivable for insurance claims in excess of deductibles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10,639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11,859</w:t>
            </w:r>
          </w:p>
        </w:tc>
      </w:tr>
      <w:tr>
        <w:trPr>
          <w:trHeight w:val="26"/>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Refundable income taxes</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8,934</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1,534</w:t>
            </w:r>
          </w:p>
        </w:tc>
      </w:tr>
      <w:tr>
        <w:trPr>
          <w:trHeight w:val="191"/>
        </w:trPr>
        <w:tc>
          <w:tcPr>
            <w:tcW w:w="8520" w:type="dxa"/>
            <w:vAlign w:val="bottom"/>
            <w:gridSpan w:val="2"/>
          </w:tcPr>
          <w:p>
            <w:pPr>
              <w:ind w:left="140"/>
              <w:spacing w:after="0"/>
              <w:rPr>
                <w:sz w:val="20"/>
                <w:szCs w:val="20"/>
                <w:color w:val="auto"/>
              </w:rPr>
            </w:pPr>
            <w:r>
              <w:rPr>
                <w:rFonts w:ascii="Arial" w:cs="Arial" w:eastAsia="Arial" w:hAnsi="Arial"/>
                <w:sz w:val="14"/>
                <w:szCs w:val="14"/>
                <w:color w:val="auto"/>
              </w:rPr>
              <w:t>Other current assets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26,579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28,882</w:t>
            </w:r>
          </w:p>
        </w:tc>
      </w:tr>
      <w:tr>
        <w:trPr>
          <w:trHeight w:val="26"/>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9"/>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current assets</w:t>
            </w: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700,635</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636,684</w:t>
            </w:r>
          </w:p>
        </w:tc>
      </w:tr>
      <w:tr>
        <w:trPr>
          <w:trHeight w:val="190"/>
        </w:trPr>
        <w:tc>
          <w:tcPr>
            <w:tcW w:w="8520" w:type="dxa"/>
            <w:vAlign w:val="bottom"/>
            <w:gridSpan w:val="2"/>
          </w:tcPr>
          <w:p>
            <w:pPr>
              <w:ind w:left="20"/>
              <w:spacing w:after="0"/>
              <w:rPr>
                <w:sz w:val="20"/>
                <w:szCs w:val="20"/>
                <w:color w:val="auto"/>
              </w:rPr>
            </w:pPr>
            <w:r>
              <w:rPr>
                <w:rFonts w:ascii="Arial" w:cs="Arial" w:eastAsia="Arial" w:hAnsi="Arial"/>
                <w:sz w:val="14"/>
                <w:szCs w:val="14"/>
                <w:color w:val="auto"/>
              </w:rPr>
              <w:t>Property and equipment, net of accumulated depreciation of $313,999 and $294,366, respectively</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184,863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185,114</w:t>
            </w:r>
          </w:p>
        </w:tc>
      </w:tr>
      <w:tr>
        <w:trPr>
          <w:trHeight w:val="26"/>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21,447</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22,291</w:t>
            </w:r>
          </w:p>
        </w:tc>
      </w:tr>
      <w:tr>
        <w:trPr>
          <w:trHeight w:val="191"/>
        </w:trPr>
        <w:tc>
          <w:tcPr>
            <w:tcW w:w="8520" w:type="dxa"/>
            <w:vAlign w:val="bottom"/>
            <w:gridSpan w:val="2"/>
          </w:tcPr>
          <w:p>
            <w:pPr>
              <w:ind w:left="20"/>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66,065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66,065</w:t>
            </w:r>
          </w:p>
        </w:tc>
      </w:tr>
      <w:tr>
        <w:trPr>
          <w:trHeight w:val="26"/>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Intangible assets, net of accumulated amortization of $16,201 and $14,467, respectively</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49,632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51,365</w:t>
            </w:r>
          </w:p>
        </w:tc>
      </w:tr>
      <w:tr>
        <w:trPr>
          <w:trHeight w:val="190"/>
        </w:trPr>
        <w:tc>
          <w:tcPr>
            <w:tcW w:w="8520" w:type="dxa"/>
            <w:vAlign w:val="bottom"/>
            <w:gridSpan w:val="2"/>
          </w:tcPr>
          <w:p>
            <w:pPr>
              <w:ind w:left="20"/>
              <w:spacing w:after="0"/>
              <w:rPr>
                <w:sz w:val="20"/>
                <w:szCs w:val="20"/>
                <w:color w:val="auto"/>
              </w:rPr>
            </w:pPr>
            <w:r>
              <w:rPr>
                <w:rFonts w:ascii="Arial" w:cs="Arial" w:eastAsia="Arial" w:hAnsi="Arial"/>
                <w:sz w:val="14"/>
                <w:szCs w:val="14"/>
                <w:color w:val="auto"/>
              </w:rPr>
              <w:t>Receivable for insurance claims in excess of deductibles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33,536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27,043</w:t>
            </w:r>
          </w:p>
        </w:tc>
      </w:tr>
      <w:tr>
        <w:trPr>
          <w:trHeight w:val="26"/>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Investment in joint ventures</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3,786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3,040</w:t>
            </w:r>
          </w:p>
        </w:tc>
      </w:tr>
      <w:tr>
        <w:trPr>
          <w:trHeight w:val="190"/>
        </w:trPr>
        <w:tc>
          <w:tcPr>
            <w:tcW w:w="8520" w:type="dxa"/>
            <w:vAlign w:val="bottom"/>
            <w:gridSpan w:val="2"/>
          </w:tcPr>
          <w:p>
            <w:pPr>
              <w:ind w:left="20"/>
              <w:spacing w:after="0"/>
              <w:rPr>
                <w:sz w:val="20"/>
                <w:szCs w:val="20"/>
                <w:color w:val="auto"/>
              </w:rPr>
            </w:pPr>
            <w:r>
              <w:rPr>
                <w:rFonts w:ascii="Arial" w:cs="Arial" w:eastAsia="Arial" w:hAnsi="Arial"/>
                <w:sz w:val="14"/>
                <w:szCs w:val="14"/>
                <w:color w:val="auto"/>
              </w:rPr>
              <w:t>Other assets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3,863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4,257</w:t>
            </w:r>
          </w:p>
        </w:tc>
      </w:tr>
      <w:tr>
        <w:trPr>
          <w:trHeight w:val="26"/>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5"/>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1,063,827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995,859</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196"/>
        </w:trPr>
        <w:tc>
          <w:tcPr>
            <w:tcW w:w="8520" w:type="dxa"/>
            <w:vAlign w:val="bottom"/>
            <w:tcBorders>
              <w:bottom w:val="single" w:sz="8" w:color="CCEEFF"/>
            </w:tcBorders>
            <w:gridSpan w:val="2"/>
            <w:shd w:val="clear" w:color="auto" w:fill="CCEEFF"/>
          </w:tcPr>
          <w:p>
            <w:pPr>
              <w:ind w:left="2640"/>
              <w:spacing w:after="0"/>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191"/>
        </w:trPr>
        <w:tc>
          <w:tcPr>
            <w:tcW w:w="8520" w:type="dxa"/>
            <w:vAlign w:val="bottom"/>
            <w:gridSpan w:val="2"/>
          </w:tcPr>
          <w:p>
            <w:pPr>
              <w:ind w:left="20"/>
              <w:spacing w:after="0"/>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Current portion of long-term debt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1,025</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4,381</w:t>
            </w:r>
          </w:p>
        </w:tc>
      </w:tr>
      <w:tr>
        <w:trPr>
          <w:trHeight w:val="190"/>
        </w:trPr>
        <w:tc>
          <w:tcPr>
            <w:tcW w:w="8520" w:type="dxa"/>
            <w:vAlign w:val="bottom"/>
            <w:gridSpan w:val="2"/>
          </w:tcPr>
          <w:p>
            <w:pPr>
              <w:ind w:left="140"/>
              <w:spacing w:after="0"/>
              <w:rPr>
                <w:sz w:val="20"/>
                <w:szCs w:val="20"/>
                <w:color w:val="auto"/>
              </w:rPr>
            </w:pPr>
            <w:r>
              <w:rPr>
                <w:rFonts w:ascii="Arial" w:cs="Arial" w:eastAsia="Arial" w:hAnsi="Arial"/>
                <w:sz w:val="14"/>
                <w:szCs w:val="14"/>
                <w:color w:val="auto"/>
              </w:rPr>
              <w:t>Current portion of operating lease obligations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7,451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6,612</w:t>
            </w:r>
          </w:p>
        </w:tc>
      </w:tr>
      <w:tr>
        <w:trPr>
          <w:trHeight w:val="25"/>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Current portion of finance lease obligations</w:t>
            </w: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318</w:t>
            </w:r>
          </w:p>
        </w:tc>
      </w:tr>
      <w:tr>
        <w:trPr>
          <w:trHeight w:val="190"/>
        </w:trPr>
        <w:tc>
          <w:tcPr>
            <w:tcW w:w="8520" w:type="dxa"/>
            <w:vAlign w:val="bottom"/>
            <w:gridSpan w:val="2"/>
          </w:tcPr>
          <w:p>
            <w:pPr>
              <w:ind w:left="140"/>
              <w:spacing w:after="0"/>
              <w:rPr>
                <w:sz w:val="20"/>
                <w:szCs w:val="20"/>
                <w:color w:val="auto"/>
              </w:rPr>
            </w:pPr>
            <w:r>
              <w:rPr>
                <w:rFonts w:ascii="Arial" w:cs="Arial" w:eastAsia="Arial" w:hAnsi="Arial"/>
                <w:sz w:val="14"/>
                <w:szCs w:val="14"/>
                <w:color w:val="auto"/>
              </w:rPr>
              <w:t>Accounts payable</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193,218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162,580</w:t>
            </w:r>
          </w:p>
        </w:tc>
      </w:tr>
      <w:tr>
        <w:trPr>
          <w:trHeight w:val="25"/>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Contract liabilities</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149,847</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158,396</w:t>
            </w:r>
          </w:p>
        </w:tc>
      </w:tr>
      <w:tr>
        <w:trPr>
          <w:trHeight w:val="191"/>
        </w:trPr>
        <w:tc>
          <w:tcPr>
            <w:tcW w:w="8520" w:type="dxa"/>
            <w:vAlign w:val="bottom"/>
            <w:gridSpan w:val="2"/>
          </w:tcPr>
          <w:p>
            <w:pPr>
              <w:ind w:left="140"/>
              <w:spacing w:after="0"/>
              <w:rPr>
                <w:sz w:val="20"/>
                <w:szCs w:val="20"/>
                <w:color w:val="auto"/>
              </w:rPr>
            </w:pPr>
            <w:r>
              <w:rPr>
                <w:rFonts w:ascii="Arial" w:cs="Arial" w:eastAsia="Arial" w:hAnsi="Arial"/>
                <w:sz w:val="14"/>
                <w:szCs w:val="14"/>
                <w:color w:val="auto"/>
              </w:rPr>
              <w:t>Current portion of accrued self-insurance</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23,945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24,395</w:t>
            </w:r>
          </w:p>
        </w:tc>
      </w:tr>
      <w:tr>
        <w:trPr>
          <w:trHeight w:val="25"/>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Other current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80,215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86,718</w:t>
            </w:r>
          </w:p>
        </w:tc>
      </w:tr>
      <w:tr>
        <w:trPr>
          <w:trHeight w:val="184"/>
        </w:trPr>
        <w:tc>
          <w:tcPr>
            <w:tcW w:w="8520" w:type="dxa"/>
            <w:vAlign w:val="bottom"/>
            <w:gridSpan w:val="2"/>
          </w:tcPr>
          <w:p>
            <w:pPr>
              <w:ind w:left="220"/>
              <w:spacing w:after="0"/>
              <w:rPr>
                <w:sz w:val="20"/>
                <w:szCs w:val="20"/>
                <w:color w:val="auto"/>
              </w:rPr>
            </w:pPr>
            <w:r>
              <w:rPr>
                <w:rFonts w:ascii="Arial" w:cs="Arial" w:eastAsia="Arial" w:hAnsi="Arial"/>
                <w:sz w:val="14"/>
                <w:szCs w:val="14"/>
                <w:color w:val="auto"/>
              </w:rPr>
              <w:t>Total current liabilities</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455,701</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443,400</w:t>
            </w:r>
          </w:p>
        </w:tc>
      </w:tr>
      <w:tr>
        <w:trPr>
          <w:trHeight w:val="25"/>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Deferred income tax liabilities</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19,682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18,339</w:t>
            </w:r>
          </w:p>
        </w:tc>
      </w:tr>
      <w:tr>
        <w:trPr>
          <w:trHeight w:val="191"/>
        </w:trPr>
        <w:tc>
          <w:tcPr>
            <w:tcW w:w="8520" w:type="dxa"/>
            <w:vAlign w:val="bottom"/>
            <w:gridSpan w:val="2"/>
          </w:tcPr>
          <w:p>
            <w:pPr>
              <w:ind w:left="20"/>
              <w:spacing w:after="0"/>
              <w:rPr>
                <w:sz w:val="20"/>
                <w:szCs w:val="20"/>
                <w:color w:val="auto"/>
              </w:rPr>
            </w:pPr>
            <w:r>
              <w:rPr>
                <w:rFonts w:ascii="Arial" w:cs="Arial" w:eastAsia="Arial" w:hAnsi="Arial"/>
                <w:sz w:val="14"/>
                <w:szCs w:val="14"/>
                <w:color w:val="auto"/>
              </w:rPr>
              <w:t>Long-term debt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3,986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25,039</w:t>
            </w:r>
          </w:p>
        </w:tc>
      </w:tr>
      <w:tr>
        <w:trPr>
          <w:trHeight w:val="25"/>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Accrued self-insurance</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51,449</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45,428</w:t>
            </w:r>
          </w:p>
        </w:tc>
      </w:tr>
      <w:tr>
        <w:trPr>
          <w:trHeight w:val="190"/>
        </w:trPr>
        <w:tc>
          <w:tcPr>
            <w:tcW w:w="8520" w:type="dxa"/>
            <w:vAlign w:val="bottom"/>
            <w:gridSpan w:val="2"/>
          </w:tcPr>
          <w:p>
            <w:pPr>
              <w:ind w:left="20"/>
              <w:spacing w:after="0"/>
              <w:rPr>
                <w:sz w:val="20"/>
                <w:szCs w:val="20"/>
                <w:color w:val="auto"/>
              </w:rPr>
            </w:pPr>
            <w:r>
              <w:rPr>
                <w:rFonts w:ascii="Arial" w:cs="Arial" w:eastAsia="Arial" w:hAnsi="Arial"/>
                <w:sz w:val="14"/>
                <w:szCs w:val="14"/>
                <w:color w:val="auto"/>
              </w:rPr>
              <w:t>Operating lease obligations, net of current maturities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14,015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15,730</w:t>
            </w:r>
          </w:p>
        </w:tc>
      </w:tr>
      <w:tr>
        <w:trPr>
          <w:trHeight w:val="25"/>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22,814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18,631</w:t>
            </w:r>
          </w:p>
        </w:tc>
      </w:tr>
      <w:tr>
        <w:trPr>
          <w:trHeight w:val="184"/>
        </w:trPr>
        <w:tc>
          <w:tcPr>
            <w:tcW w:w="8520" w:type="dxa"/>
            <w:vAlign w:val="bottom"/>
            <w:gridSpan w:val="2"/>
          </w:tcPr>
          <w:p>
            <w:pPr>
              <w:ind w:left="220"/>
              <w:spacing w:after="0"/>
              <w:rPr>
                <w:sz w:val="20"/>
                <w:szCs w:val="20"/>
                <w:color w:val="auto"/>
              </w:rPr>
            </w:pPr>
            <w:r>
              <w:rPr>
                <w:rFonts w:ascii="Arial" w:cs="Arial" w:eastAsia="Arial" w:hAnsi="Arial"/>
                <w:sz w:val="14"/>
                <w:szCs w:val="14"/>
                <w:color w:val="auto"/>
              </w:rPr>
              <w:t>Total liabilities</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567,647</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566,567</w:t>
            </w:r>
          </w:p>
        </w:tc>
      </w:tr>
      <w:tr>
        <w:trPr>
          <w:trHeight w:val="25"/>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6"/>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Commitments and contingencies</w:t>
            </w:r>
          </w:p>
        </w:tc>
        <w:tc>
          <w:tcPr>
            <w:tcW w:w="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90"/>
        </w:trPr>
        <w:tc>
          <w:tcPr>
            <w:tcW w:w="8520" w:type="dxa"/>
            <w:vAlign w:val="bottom"/>
            <w:gridSpan w:val="2"/>
          </w:tcPr>
          <w:p>
            <w:pPr>
              <w:ind w:left="20"/>
              <w:spacing w:after="0"/>
              <w:rPr>
                <w:sz w:val="20"/>
                <w:szCs w:val="20"/>
                <w:color w:val="auto"/>
              </w:rPr>
            </w:pPr>
            <w:r>
              <w:rPr>
                <w:rFonts w:ascii="Arial" w:cs="Arial" w:eastAsia="Arial" w:hAnsi="Arial"/>
                <w:sz w:val="14"/>
                <w:szCs w:val="14"/>
                <w:color w:val="auto"/>
              </w:rPr>
              <w:t>Stockholders’ equity:</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70"/>
        </w:trPr>
        <w:tc>
          <w:tcPr>
            <w:tcW w:w="85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Preferred stock—$0.01 par value per share; 4,000,000 authorized shares; none issued and outstanding at September 30, 2021 and</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88"/>
        </w:trPr>
        <w:tc>
          <w:tcPr>
            <w:tcW w:w="85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December 31, 2020</w:t>
            </w:r>
          </w:p>
        </w:tc>
        <w:tc>
          <w:tcPr>
            <w:tcW w:w="1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8520" w:type="dxa"/>
            <w:vAlign w:val="bottom"/>
            <w:gridSpan w:val="2"/>
          </w:tcPr>
          <w:p>
            <w:pPr>
              <w:ind w:left="140"/>
              <w:spacing w:after="0"/>
              <w:rPr>
                <w:sz w:val="20"/>
                <w:szCs w:val="20"/>
                <w:color w:val="auto"/>
              </w:rPr>
            </w:pPr>
            <w:r>
              <w:rPr>
                <w:rFonts w:ascii="Arial" w:cs="Arial" w:eastAsia="Arial" w:hAnsi="Arial"/>
                <w:sz w:val="14"/>
                <w:szCs w:val="14"/>
                <w:color w:val="auto"/>
                <w:w w:val="97"/>
              </w:rPr>
              <w:t>Common stock—$0.01 par value per share; 100,000,000 authorized shares; 16,869,947 and 16,734,239 shares issued and outstanding at</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2"/>
        </w:trPr>
        <w:tc>
          <w:tcPr>
            <w:tcW w:w="8520" w:type="dxa"/>
            <w:vAlign w:val="bottom"/>
            <w:gridSpan w:val="2"/>
          </w:tcPr>
          <w:p>
            <w:pPr>
              <w:ind w:left="300"/>
              <w:spacing w:after="0"/>
              <w:rPr>
                <w:sz w:val="20"/>
                <w:szCs w:val="20"/>
                <w:color w:val="auto"/>
              </w:rPr>
            </w:pPr>
            <w:r>
              <w:rPr>
                <w:rFonts w:ascii="Arial" w:cs="Arial" w:eastAsia="Arial" w:hAnsi="Arial"/>
                <w:sz w:val="14"/>
                <w:szCs w:val="14"/>
                <w:color w:val="auto"/>
              </w:rPr>
              <w:t>September 30, 2021 and December 31, 2020, respectively</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167</w:t>
            </w:r>
          </w:p>
        </w:tc>
      </w:tr>
      <w:tr>
        <w:trPr>
          <w:trHeight w:val="25"/>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Additional paid-in capital</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161,593</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158,618</w:t>
            </w:r>
          </w:p>
        </w:tc>
      </w:tr>
      <w:tr>
        <w:trPr>
          <w:trHeight w:val="190"/>
        </w:trPr>
        <w:tc>
          <w:tcPr>
            <w:tcW w:w="8520" w:type="dxa"/>
            <w:vAlign w:val="bottom"/>
            <w:gridSpan w:val="2"/>
          </w:tcPr>
          <w:p>
            <w:pPr>
              <w:ind w:left="140"/>
              <w:spacing w:after="0"/>
              <w:rPr>
                <w:sz w:val="20"/>
                <w:szCs w:val="20"/>
                <w:color w:val="auto"/>
              </w:rPr>
            </w:pPr>
            <w:r>
              <w:rPr>
                <w:rFonts w:ascii="Arial" w:cs="Arial" w:eastAsia="Arial" w:hAnsi="Arial"/>
                <w:sz w:val="14"/>
                <w:szCs w:val="14"/>
                <w:color w:val="auto"/>
              </w:rPr>
              <w:t>Accumulated other comprehensive income</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5"/>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334,315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270,480</w:t>
            </w:r>
          </w:p>
        </w:tc>
      </w:tr>
      <w:tr>
        <w:trPr>
          <w:trHeight w:val="184"/>
        </w:trPr>
        <w:tc>
          <w:tcPr>
            <w:tcW w:w="8520" w:type="dxa"/>
            <w:vAlign w:val="bottom"/>
            <w:gridSpan w:val="2"/>
          </w:tcPr>
          <w:p>
            <w:pPr>
              <w:ind w:left="220"/>
              <w:spacing w:after="0"/>
              <w:rPr>
                <w:sz w:val="20"/>
                <w:szCs w:val="20"/>
                <w:color w:val="auto"/>
              </w:rPr>
            </w:pPr>
            <w:r>
              <w:rPr>
                <w:rFonts w:ascii="Arial" w:cs="Arial" w:eastAsia="Arial" w:hAnsi="Arial"/>
                <w:sz w:val="14"/>
                <w:szCs w:val="14"/>
                <w:color w:val="auto"/>
              </w:rPr>
              <w:t>Total stockholders’ equity attributable to MYR Group Inc.</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496,176</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429,288</w:t>
            </w:r>
          </w:p>
        </w:tc>
      </w:tr>
      <w:tr>
        <w:trPr>
          <w:trHeight w:val="25"/>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Noncontrolling interest</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84"/>
        </w:trPr>
        <w:tc>
          <w:tcPr>
            <w:tcW w:w="8520" w:type="dxa"/>
            <w:vAlign w:val="bottom"/>
            <w:gridSpan w:val="2"/>
          </w:tcPr>
          <w:p>
            <w:pPr>
              <w:ind w:left="220"/>
              <w:spacing w:after="0"/>
              <w:rPr>
                <w:sz w:val="20"/>
                <w:szCs w:val="20"/>
                <w:color w:val="auto"/>
              </w:rPr>
            </w:pPr>
            <w:r>
              <w:rPr>
                <w:rFonts w:ascii="Arial" w:cs="Arial" w:eastAsia="Arial" w:hAnsi="Arial"/>
                <w:sz w:val="14"/>
                <w:szCs w:val="14"/>
                <w:color w:val="auto"/>
              </w:rPr>
              <w:t>Total stockholders’ equity</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496,180</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429,292</w:t>
            </w:r>
          </w:p>
        </w:tc>
      </w:tr>
      <w:tr>
        <w:trPr>
          <w:trHeight w:val="25"/>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4"/>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1,063,827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995,859</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MYR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 AND COMPREHENSIVE INCOME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40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5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87"/>
        </w:trPr>
        <w:tc>
          <w:tcPr>
            <w:tcW w:w="5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300" w:type="dxa"/>
            <w:vAlign w:val="bottom"/>
          </w:tcPr>
          <w:p>
            <w:pPr>
              <w:spacing w:after="0"/>
              <w:rPr>
                <w:sz w:val="16"/>
                <w:szCs w:val="16"/>
                <w:color w:val="auto"/>
              </w:rPr>
            </w:pPr>
          </w:p>
        </w:tc>
        <w:tc>
          <w:tcPr>
            <w:tcW w:w="980" w:type="dxa"/>
            <w:vAlign w:val="bottom"/>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1"/>
              <w:spacing w:after="0"/>
              <w:rPr>
                <w:sz w:val="20"/>
                <w:szCs w:val="20"/>
                <w:color w:val="auto"/>
              </w:rPr>
            </w:pPr>
            <w:r>
              <w:rPr>
                <w:rFonts w:ascii="Arial" w:cs="Arial" w:eastAsia="Arial" w:hAnsi="Arial"/>
                <w:sz w:val="14"/>
                <w:szCs w:val="14"/>
                <w:b w:val="1"/>
                <w:bCs w:val="1"/>
                <w:color w:val="auto"/>
              </w:rPr>
              <w:t>2020</w:t>
            </w:r>
          </w:p>
        </w:tc>
      </w:tr>
      <w:tr>
        <w:trPr>
          <w:trHeight w:val="26"/>
        </w:trPr>
        <w:tc>
          <w:tcPr>
            <w:tcW w:w="5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0"/>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Contract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610,182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607,901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1,852,241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1,639,422</w:t>
            </w:r>
          </w:p>
        </w:tc>
      </w:tr>
      <w:tr>
        <w:trPr>
          <w:trHeight w:val="270"/>
        </w:trPr>
        <w:tc>
          <w:tcPr>
            <w:tcW w:w="5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Contract costs</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526,259</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531,429</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1,610,343</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1,440,013</w:t>
            </w:r>
          </w:p>
        </w:tc>
      </w:tr>
      <w:tr>
        <w:trPr>
          <w:trHeight w:val="244"/>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83,923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241,898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199,409</w:t>
            </w:r>
          </w:p>
        </w:tc>
      </w:tr>
      <w:tr>
        <w:trPr>
          <w:trHeight w:val="243"/>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53,072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51,443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154,609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137,688</w:t>
            </w: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3,009</w:t>
            </w:r>
          </w:p>
        </w:tc>
      </w:tr>
      <w:tr>
        <w:trPr>
          <w:trHeight w:val="243"/>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Gain on sale of property and equipment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(2,473)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(1,967)</w:t>
            </w:r>
          </w:p>
        </w:tc>
      </w:tr>
      <w:tr>
        <w:trPr>
          <w:trHeight w:val="27"/>
        </w:trPr>
        <w:tc>
          <w:tcPr>
            <w:tcW w:w="5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30,952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88,028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60,679</w:t>
            </w:r>
          </w:p>
        </w:tc>
      </w:tr>
      <w:tr>
        <w:trPr>
          <w:trHeight w:val="243"/>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574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(3,941)</w:t>
            </w: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37"/>
        </w:trPr>
        <w:tc>
          <w:tcPr>
            <w:tcW w:w="5740" w:type="dxa"/>
            <w:vAlign w:val="bottom"/>
            <w:gridSpan w:val="2"/>
          </w:tcPr>
          <w:p>
            <w:pPr>
              <w:ind w:left="360"/>
              <w:spacing w:after="0"/>
              <w:rPr>
                <w:sz w:val="20"/>
                <w:szCs w:val="20"/>
                <w:color w:val="auto"/>
              </w:rPr>
            </w:pPr>
            <w:r>
              <w:rPr>
                <w:rFonts w:ascii="Arial" w:cs="Arial" w:eastAsia="Arial" w:hAnsi="Arial"/>
                <w:sz w:val="18"/>
                <w:szCs w:val="18"/>
                <w:color w:val="auto"/>
              </w:rPr>
              <w:t>Income before provision for income taxes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30,739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23,834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86,811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56,188</w:t>
            </w: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22,493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15,579</w:t>
            </w:r>
          </w:p>
        </w:tc>
      </w:tr>
      <w:tr>
        <w:trPr>
          <w:trHeight w:val="237"/>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23,171</w:t>
            </w:r>
          </w:p>
        </w:tc>
        <w:tc>
          <w:tcPr>
            <w:tcW w:w="12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17,292</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64,318</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40,609</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7"/>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per common share:</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r>
      <w:tr>
        <w:trPr>
          <w:trHeight w:val="243"/>
        </w:trPr>
        <w:tc>
          <w:tcPr>
            <w:tcW w:w="574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29"/>
        </w:trPr>
        <w:tc>
          <w:tcPr>
            <w:tcW w:w="5740" w:type="dxa"/>
            <w:vAlign w:val="bottom"/>
            <w:gridSpan w:val="2"/>
          </w:tcPr>
          <w:p>
            <w:pPr>
              <w:ind w:left="20"/>
              <w:spacing w:after="0"/>
              <w:rPr>
                <w:sz w:val="20"/>
                <w:szCs w:val="20"/>
                <w:color w:val="auto"/>
              </w:rPr>
            </w:pPr>
            <w:r>
              <w:rPr>
                <w:rFonts w:ascii="Arial" w:cs="Arial" w:eastAsia="Arial" w:hAnsi="Arial"/>
                <w:sz w:val="18"/>
                <w:szCs w:val="18"/>
                <w:color w:val="auto"/>
                <w:w w:val="94"/>
              </w:rPr>
              <w:t>Weighted average number of common shares and potential common shares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outstanding:</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16,868</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16,828</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16,670</w:t>
            </w:r>
          </w:p>
        </w:tc>
      </w:tr>
      <w:tr>
        <w:trPr>
          <w:trHeight w:val="270"/>
        </w:trPr>
        <w:tc>
          <w:tcPr>
            <w:tcW w:w="5740" w:type="dxa"/>
            <w:vAlign w:val="bottom"/>
            <w:gridSpan w:val="2"/>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17,167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16,882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17,132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16,798</w:t>
            </w:r>
          </w:p>
        </w:tc>
      </w:tr>
      <w:tr>
        <w:trPr>
          <w:trHeight w:val="257"/>
        </w:trPr>
        <w:tc>
          <w:tcPr>
            <w:tcW w:w="5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43"/>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23,171</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17,292</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64,318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40,609</w:t>
            </w: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gridSpan w:val="2"/>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5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63"/>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Total comprehensive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22,582</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17,287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64,395</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40,652</w:t>
            </w:r>
          </w:p>
        </w:tc>
      </w:tr>
      <w:tr>
        <w:trPr>
          <w:trHeight w:val="20"/>
        </w:trPr>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MYR GROUP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CONSOLIDATED STATEMENTS OF STOCKHOLDERS’ EQUITY</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MYR</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48"/>
        </w:trPr>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Group Inc.</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4"/>
        </w:trPr>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Preferred</w:t>
            </w:r>
          </w:p>
        </w:tc>
        <w:tc>
          <w:tcPr>
            <w:tcW w:w="1500" w:type="dxa"/>
            <w:vAlign w:val="bottom"/>
            <w:gridSpan w:val="5"/>
          </w:tcPr>
          <w:p>
            <w:pPr>
              <w:ind w:left="28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Comprehensive</w:t>
            </w: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Stockholders’</w:t>
            </w: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Noncontrolling</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9"/>
        </w:trPr>
        <w:tc>
          <w:tcPr>
            <w:tcW w:w="2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67"/>
        </w:trPr>
        <w:tc>
          <w:tcPr>
            <w:tcW w:w="2680" w:type="dxa"/>
            <w:vAlign w:val="bottom"/>
            <w:gridSpan w:val="2"/>
          </w:tcPr>
          <w:p>
            <w:pPr>
              <w:ind w:left="90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3"/>
                <w:szCs w:val="13"/>
                <w:b w:val="1"/>
                <w:bCs w:val="1"/>
                <w:color w:val="auto"/>
              </w:rPr>
              <w:t>Stock</w:t>
            </w:r>
          </w:p>
        </w:tc>
        <w:tc>
          <w:tcPr>
            <w:tcW w:w="74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Equity</w:t>
            </w: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60" w:type="dxa"/>
            <w:vAlign w:val="bottom"/>
          </w:tcPr>
          <w:p>
            <w:pPr>
              <w:spacing w:after="0"/>
              <w:rPr>
                <w:sz w:val="14"/>
                <w:szCs w:val="14"/>
                <w:color w:val="auto"/>
              </w:rPr>
            </w:pPr>
          </w:p>
        </w:tc>
        <w:tc>
          <w:tcPr>
            <w:tcW w:w="54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r>
      <w:tr>
        <w:trPr>
          <w:trHeight w:val="29"/>
        </w:trPr>
        <w:tc>
          <w:tcPr>
            <w:tcW w:w="2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6"/>
        </w:trPr>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2019</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16,649</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152,532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212,219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364,471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7"/>
              </w:rPr>
              <w:t>364,475</w:t>
            </w:r>
          </w:p>
        </w:tc>
      </w:tr>
      <w:tr>
        <w:trPr>
          <w:trHeight w:val="173"/>
        </w:trPr>
        <w:tc>
          <w:tcPr>
            <w:tcW w:w="2680" w:type="dxa"/>
            <w:vAlign w:val="bottom"/>
            <w:gridSpan w:val="2"/>
          </w:tcPr>
          <w:p>
            <w:pPr>
              <w:ind w:left="20"/>
              <w:spacing w:after="0"/>
              <w:rPr>
                <w:sz w:val="20"/>
                <w:szCs w:val="20"/>
                <w:color w:val="auto"/>
              </w:rPr>
            </w:pPr>
            <w:r>
              <w:rPr>
                <w:rFonts w:ascii="Arial" w:cs="Arial" w:eastAsia="Arial" w:hAnsi="Arial"/>
                <w:sz w:val="13"/>
                <w:szCs w:val="13"/>
                <w:color w:val="auto"/>
              </w:rPr>
              <w:t>Net income</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9,932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9,932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9,932</w:t>
            </w:r>
          </w:p>
        </w:tc>
      </w:tr>
      <w:tr>
        <w:trPr>
          <w:trHeight w:val="29"/>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Adjustment to adopt ASC 326</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(268)</w:t>
            </w:r>
          </w:p>
        </w:tc>
      </w:tr>
      <w:tr>
        <w:trPr>
          <w:trHeight w:val="173"/>
        </w:trPr>
        <w:tc>
          <w:tcPr>
            <w:tcW w:w="2680" w:type="dxa"/>
            <w:vAlign w:val="bottom"/>
            <w:gridSpan w:val="2"/>
          </w:tcPr>
          <w:p>
            <w:pPr>
              <w:ind w:left="20"/>
              <w:spacing w:after="0"/>
              <w:rPr>
                <w:sz w:val="20"/>
                <w:szCs w:val="20"/>
                <w:color w:val="auto"/>
              </w:rPr>
            </w:pPr>
            <w:r>
              <w:rPr>
                <w:rFonts w:ascii="Arial" w:cs="Arial" w:eastAsia="Arial" w:hAnsi="Arial"/>
                <w:sz w:val="13"/>
                <w:szCs w:val="13"/>
                <w:color w:val="auto"/>
              </w:rPr>
              <w:t>Stock issued under compensation plans, net</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82</w:t>
            </w:r>
          </w:p>
        </w:tc>
      </w:tr>
      <w:tr>
        <w:trPr>
          <w:trHeight w:val="29"/>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1,080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1,080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1,080</w:t>
            </w:r>
          </w:p>
        </w:tc>
      </w:tr>
      <w:tr>
        <w:trPr>
          <w:trHeight w:val="173"/>
        </w:trPr>
        <w:tc>
          <w:tcPr>
            <w:tcW w:w="2680" w:type="dxa"/>
            <w:vAlign w:val="bottom"/>
            <w:gridSpan w:val="2"/>
          </w:tcPr>
          <w:p>
            <w:pPr>
              <w:ind w:left="20"/>
              <w:spacing w:after="0"/>
              <w:rPr>
                <w:sz w:val="20"/>
                <w:szCs w:val="20"/>
                <w:color w:val="auto"/>
              </w:rPr>
            </w:pPr>
            <w:r>
              <w:rPr>
                <w:rFonts w:ascii="Arial" w:cs="Arial" w:eastAsia="Arial" w:hAnsi="Arial"/>
                <w:sz w:val="13"/>
                <w:szCs w:val="13"/>
                <w:color w:val="auto"/>
              </w:rPr>
              <w:t>Shares repurchased</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(426)</w:t>
            </w:r>
          </w:p>
        </w:tc>
      </w:tr>
      <w:tr>
        <w:trPr>
          <w:trHeight w:val="29"/>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Other comprehensive income</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87</w:t>
            </w:r>
          </w:p>
        </w:tc>
      </w:tr>
      <w:tr>
        <w:trPr>
          <w:trHeight w:val="173"/>
        </w:trPr>
        <w:tc>
          <w:tcPr>
            <w:tcW w:w="2680" w:type="dxa"/>
            <w:vAlign w:val="bottom"/>
            <w:gridSpan w:val="2"/>
          </w:tcPr>
          <w:p>
            <w:pPr>
              <w:ind w:left="20"/>
              <w:spacing w:after="0"/>
              <w:rPr>
                <w:sz w:val="20"/>
                <w:szCs w:val="20"/>
                <w:color w:val="auto"/>
              </w:rPr>
            </w:pPr>
            <w:r>
              <w:rPr>
                <w:rFonts w:ascii="Arial" w:cs="Arial" w:eastAsia="Arial" w:hAnsi="Arial"/>
                <w:sz w:val="13"/>
                <w:szCs w:val="13"/>
                <w:color w:val="auto"/>
              </w:rPr>
              <w:t>Stock issued - other</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29"/>
        </w:trPr>
        <w:tc>
          <w:tcPr>
            <w:tcW w:w="2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76"/>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2020</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16,685</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153,477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221,698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374,982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7"/>
              </w:rPr>
              <w:t>374,986</w:t>
            </w:r>
          </w:p>
        </w:tc>
      </w:tr>
      <w:tr>
        <w:trPr>
          <w:trHeight w:val="173"/>
        </w:trPr>
        <w:tc>
          <w:tcPr>
            <w:tcW w:w="2680" w:type="dxa"/>
            <w:vAlign w:val="bottom"/>
            <w:gridSpan w:val="2"/>
          </w:tcPr>
          <w:p>
            <w:pPr>
              <w:ind w:left="20"/>
              <w:spacing w:after="0"/>
              <w:rPr>
                <w:sz w:val="20"/>
                <w:szCs w:val="20"/>
                <w:color w:val="auto"/>
              </w:rPr>
            </w:pPr>
            <w:r>
              <w:rPr>
                <w:rFonts w:ascii="Arial" w:cs="Arial" w:eastAsia="Arial" w:hAnsi="Arial"/>
                <w:sz w:val="13"/>
                <w:szCs w:val="13"/>
                <w:color w:val="auto"/>
              </w:rPr>
              <w:t>Net income</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13,385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13,385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13,385</w:t>
            </w:r>
          </w:p>
        </w:tc>
      </w:tr>
      <w:tr>
        <w:trPr>
          <w:trHeight w:val="29"/>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Stock issued under compensation plans, net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73"/>
        </w:trPr>
        <w:tc>
          <w:tcPr>
            <w:tcW w:w="2680" w:type="dxa"/>
            <w:vAlign w:val="bottom"/>
            <w:gridSpan w:val="2"/>
          </w:tcPr>
          <w:p>
            <w:pPr>
              <w:ind w:left="20"/>
              <w:spacing w:after="0"/>
              <w:rPr>
                <w:sz w:val="20"/>
                <w:szCs w:val="20"/>
                <w:color w:val="auto"/>
              </w:rPr>
            </w:pPr>
            <w:r>
              <w:rPr>
                <w:rFonts w:ascii="Arial" w:cs="Arial" w:eastAsia="Arial" w:hAnsi="Arial"/>
                <w:sz w:val="13"/>
                <w:szCs w:val="13"/>
                <w:color w:val="auto"/>
              </w:rPr>
              <w:t>Stock-based compensation expense</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1,093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1,093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1,093</w:t>
            </w:r>
          </w:p>
        </w:tc>
      </w:tr>
      <w:tr>
        <w:trPr>
          <w:trHeight w:val="29"/>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Other comprehensive loss</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w:t>
            </w:r>
          </w:p>
        </w:tc>
      </w:tr>
      <w:tr>
        <w:trPr>
          <w:trHeight w:val="173"/>
        </w:trPr>
        <w:tc>
          <w:tcPr>
            <w:tcW w:w="2680" w:type="dxa"/>
            <w:vAlign w:val="bottom"/>
            <w:gridSpan w:val="2"/>
          </w:tcPr>
          <w:p>
            <w:pPr>
              <w:ind w:left="20"/>
              <w:spacing w:after="0"/>
              <w:rPr>
                <w:sz w:val="20"/>
                <w:szCs w:val="20"/>
                <w:color w:val="auto"/>
              </w:rPr>
            </w:pPr>
            <w:r>
              <w:rPr>
                <w:rFonts w:ascii="Arial" w:cs="Arial" w:eastAsia="Arial" w:hAnsi="Arial"/>
                <w:sz w:val="13"/>
                <w:szCs w:val="13"/>
                <w:color w:val="auto"/>
              </w:rPr>
              <w:t>Stock issued - other</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29"/>
        </w:trPr>
        <w:tc>
          <w:tcPr>
            <w:tcW w:w="2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76"/>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June 30, 2020</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16,709</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154,594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235,083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389,446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7"/>
              </w:rPr>
              <w:t>389,450</w:t>
            </w:r>
          </w:p>
        </w:tc>
      </w:tr>
      <w:tr>
        <w:trPr>
          <w:trHeight w:val="173"/>
        </w:trPr>
        <w:tc>
          <w:tcPr>
            <w:tcW w:w="2680" w:type="dxa"/>
            <w:vAlign w:val="bottom"/>
            <w:gridSpan w:val="2"/>
          </w:tcPr>
          <w:p>
            <w:pPr>
              <w:ind w:left="20"/>
              <w:spacing w:after="0"/>
              <w:rPr>
                <w:sz w:val="20"/>
                <w:szCs w:val="20"/>
                <w:color w:val="auto"/>
              </w:rPr>
            </w:pPr>
            <w:r>
              <w:rPr>
                <w:rFonts w:ascii="Arial" w:cs="Arial" w:eastAsia="Arial" w:hAnsi="Arial"/>
                <w:sz w:val="13"/>
                <w:szCs w:val="13"/>
                <w:color w:val="auto"/>
              </w:rPr>
              <w:t>Net income</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17,292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17,292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17,292</w:t>
            </w:r>
          </w:p>
        </w:tc>
      </w:tr>
      <w:tr>
        <w:trPr>
          <w:trHeight w:val="29"/>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Stock issued under compensation plans, net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224</w:t>
            </w:r>
          </w:p>
        </w:tc>
      </w:tr>
      <w:tr>
        <w:trPr>
          <w:trHeight w:val="173"/>
        </w:trPr>
        <w:tc>
          <w:tcPr>
            <w:tcW w:w="2680" w:type="dxa"/>
            <w:vAlign w:val="bottom"/>
            <w:gridSpan w:val="2"/>
          </w:tcPr>
          <w:p>
            <w:pPr>
              <w:ind w:left="20"/>
              <w:spacing w:after="0"/>
              <w:rPr>
                <w:sz w:val="20"/>
                <w:szCs w:val="20"/>
                <w:color w:val="auto"/>
              </w:rPr>
            </w:pPr>
            <w:r>
              <w:rPr>
                <w:rFonts w:ascii="Arial" w:cs="Arial" w:eastAsia="Arial" w:hAnsi="Arial"/>
                <w:sz w:val="13"/>
                <w:szCs w:val="13"/>
                <w:color w:val="auto"/>
              </w:rPr>
              <w:t>Stock-based compensation expense</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1,631</w:t>
            </w:r>
          </w:p>
        </w:tc>
      </w:tr>
      <w:tr>
        <w:trPr>
          <w:trHeight w:val="30"/>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Other comprehensive income</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73"/>
        </w:trPr>
        <w:tc>
          <w:tcPr>
            <w:tcW w:w="2680" w:type="dxa"/>
            <w:vAlign w:val="bottom"/>
            <w:gridSpan w:val="2"/>
          </w:tcPr>
          <w:p>
            <w:pPr>
              <w:ind w:left="20"/>
              <w:spacing w:after="0"/>
              <w:rPr>
                <w:sz w:val="20"/>
                <w:szCs w:val="20"/>
                <w:color w:val="auto"/>
              </w:rPr>
            </w:pPr>
            <w:r>
              <w:rPr>
                <w:rFonts w:ascii="Arial" w:cs="Arial" w:eastAsia="Arial" w:hAnsi="Arial"/>
                <w:sz w:val="13"/>
                <w:szCs w:val="13"/>
                <w:color w:val="auto"/>
              </w:rPr>
              <w:t>Stock issued - other</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30"/>
        </w:trPr>
        <w:tc>
          <w:tcPr>
            <w:tcW w:w="2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15"/>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September 30, 2020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156,461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252,375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408,600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408,604</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164"/>
        </w:trPr>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2020</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16,734</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158,618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270,480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429,288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7"/>
              </w:rPr>
              <w:t>429,292</w:t>
            </w:r>
          </w:p>
        </w:tc>
      </w:tr>
      <w:tr>
        <w:trPr>
          <w:trHeight w:val="173"/>
        </w:trPr>
        <w:tc>
          <w:tcPr>
            <w:tcW w:w="2680" w:type="dxa"/>
            <w:vAlign w:val="bottom"/>
            <w:gridSpan w:val="2"/>
          </w:tcPr>
          <w:p>
            <w:pPr>
              <w:ind w:left="20"/>
              <w:spacing w:after="0"/>
              <w:rPr>
                <w:sz w:val="20"/>
                <w:szCs w:val="20"/>
                <w:color w:val="auto"/>
              </w:rPr>
            </w:pPr>
            <w:r>
              <w:rPr>
                <w:rFonts w:ascii="Arial" w:cs="Arial" w:eastAsia="Arial" w:hAnsi="Arial"/>
                <w:sz w:val="13"/>
                <w:szCs w:val="13"/>
                <w:color w:val="auto"/>
              </w:rPr>
              <w:t>Net income</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19,928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19,928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19,928</w:t>
            </w:r>
          </w:p>
        </w:tc>
      </w:tr>
      <w:tr>
        <w:trPr>
          <w:trHeight w:val="30"/>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Stock issued under compensation plans, net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110</w:t>
            </w:r>
          </w:p>
        </w:tc>
      </w:tr>
      <w:tr>
        <w:trPr>
          <w:trHeight w:val="173"/>
        </w:trPr>
        <w:tc>
          <w:tcPr>
            <w:tcW w:w="2680" w:type="dxa"/>
            <w:vAlign w:val="bottom"/>
            <w:gridSpan w:val="2"/>
          </w:tcPr>
          <w:p>
            <w:pPr>
              <w:ind w:left="20"/>
              <w:spacing w:after="0"/>
              <w:rPr>
                <w:sz w:val="20"/>
                <w:szCs w:val="20"/>
                <w:color w:val="auto"/>
              </w:rPr>
            </w:pPr>
            <w:r>
              <w:rPr>
                <w:rFonts w:ascii="Arial" w:cs="Arial" w:eastAsia="Arial" w:hAnsi="Arial"/>
                <w:sz w:val="13"/>
                <w:szCs w:val="13"/>
                <w:color w:val="auto"/>
              </w:rPr>
              <w:t>Stock-based compensation expense</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1,487</w:t>
            </w:r>
          </w:p>
        </w:tc>
      </w:tr>
      <w:tr>
        <w:trPr>
          <w:trHeight w:val="30"/>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Shares repurchased</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(2,231)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(2,618)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(2,618)</w:t>
            </w:r>
          </w:p>
        </w:tc>
      </w:tr>
      <w:tr>
        <w:trPr>
          <w:trHeight w:val="173"/>
        </w:trPr>
        <w:tc>
          <w:tcPr>
            <w:tcW w:w="2680" w:type="dxa"/>
            <w:vAlign w:val="bottom"/>
            <w:gridSpan w:val="2"/>
          </w:tcPr>
          <w:p>
            <w:pPr>
              <w:ind w:left="20"/>
              <w:spacing w:after="0"/>
              <w:rPr>
                <w:sz w:val="20"/>
                <w:szCs w:val="20"/>
                <w:color w:val="auto"/>
              </w:rPr>
            </w:pPr>
            <w:r>
              <w:rPr>
                <w:rFonts w:ascii="Arial" w:cs="Arial" w:eastAsia="Arial" w:hAnsi="Arial"/>
                <w:sz w:val="13"/>
                <w:szCs w:val="13"/>
                <w:color w:val="auto"/>
              </w:rPr>
              <w:t>Other comprehensive income</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253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253</w:t>
            </w:r>
          </w:p>
        </w:tc>
      </w:tr>
      <w:tr>
        <w:trPr>
          <w:trHeight w:val="30"/>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Stock issued - other</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66"/>
        </w:trPr>
        <w:tc>
          <w:tcPr>
            <w:tcW w:w="2680" w:type="dxa"/>
            <w:vAlign w:val="bottom"/>
            <w:gridSpan w:val="2"/>
          </w:tcPr>
          <w:p>
            <w:pPr>
              <w:ind w:left="20"/>
              <w:spacing w:after="0"/>
              <w:rPr>
                <w:sz w:val="20"/>
                <w:szCs w:val="20"/>
                <w:color w:val="auto"/>
              </w:rPr>
            </w:pPr>
            <w:r>
              <w:rPr>
                <w:rFonts w:ascii="Arial" w:cs="Arial" w:eastAsia="Arial" w:hAnsi="Arial"/>
                <w:sz w:val="13"/>
                <w:szCs w:val="13"/>
                <w:b w:val="1"/>
                <w:bCs w:val="1"/>
                <w:color w:val="auto"/>
              </w:rPr>
              <w:t>Balance at March 31, 2021</w:t>
            </w: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16,817</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168</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157,995</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276</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290,021</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448,460</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7"/>
              </w:rPr>
              <w:t>448,464</w:t>
            </w:r>
          </w:p>
        </w:tc>
      </w:tr>
      <w:tr>
        <w:trPr>
          <w:trHeight w:val="30"/>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21,219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21,219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21,219</w:t>
            </w:r>
          </w:p>
        </w:tc>
      </w:tr>
      <w:tr>
        <w:trPr>
          <w:trHeight w:val="173"/>
        </w:trPr>
        <w:tc>
          <w:tcPr>
            <w:tcW w:w="2680" w:type="dxa"/>
            <w:vAlign w:val="bottom"/>
            <w:gridSpan w:val="2"/>
          </w:tcPr>
          <w:p>
            <w:pPr>
              <w:ind w:left="20"/>
              <w:spacing w:after="0"/>
              <w:rPr>
                <w:sz w:val="20"/>
                <w:szCs w:val="20"/>
                <w:color w:val="auto"/>
              </w:rPr>
            </w:pPr>
            <w:r>
              <w:rPr>
                <w:rFonts w:ascii="Arial" w:cs="Arial" w:eastAsia="Arial" w:hAnsi="Arial"/>
                <w:sz w:val="13"/>
                <w:szCs w:val="13"/>
                <w:color w:val="auto"/>
              </w:rPr>
              <w:t>Stock issued under compensation plans, net</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319</w:t>
            </w:r>
          </w:p>
        </w:tc>
      </w:tr>
      <w:tr>
        <w:trPr>
          <w:trHeight w:val="30"/>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1,948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1,948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1,948</w:t>
            </w:r>
          </w:p>
        </w:tc>
      </w:tr>
      <w:tr>
        <w:trPr>
          <w:trHeight w:val="173"/>
        </w:trPr>
        <w:tc>
          <w:tcPr>
            <w:tcW w:w="2680" w:type="dxa"/>
            <w:vAlign w:val="bottom"/>
            <w:gridSpan w:val="2"/>
          </w:tcPr>
          <w:p>
            <w:pPr>
              <w:ind w:left="20"/>
              <w:spacing w:after="0"/>
              <w:rPr>
                <w:sz w:val="20"/>
                <w:szCs w:val="20"/>
                <w:color w:val="auto"/>
              </w:rPr>
            </w:pPr>
            <w:r>
              <w:rPr>
                <w:rFonts w:ascii="Arial" w:cs="Arial" w:eastAsia="Arial" w:hAnsi="Arial"/>
                <w:sz w:val="13"/>
                <w:szCs w:val="13"/>
                <w:color w:val="auto"/>
              </w:rPr>
              <w:t>Shares repurchased</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(734)</w:t>
            </w:r>
          </w:p>
        </w:tc>
      </w:tr>
      <w:tr>
        <w:trPr>
          <w:trHeight w:val="30"/>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Other comprehensive income</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413</w:t>
            </w:r>
          </w:p>
        </w:tc>
      </w:tr>
      <w:tr>
        <w:trPr>
          <w:trHeight w:val="166"/>
        </w:trPr>
        <w:tc>
          <w:tcPr>
            <w:tcW w:w="2680" w:type="dxa"/>
            <w:vAlign w:val="bottom"/>
            <w:gridSpan w:val="2"/>
          </w:tcPr>
          <w:p>
            <w:pPr>
              <w:ind w:left="20"/>
              <w:spacing w:after="0"/>
              <w:rPr>
                <w:sz w:val="20"/>
                <w:szCs w:val="20"/>
                <w:color w:val="auto"/>
              </w:rPr>
            </w:pPr>
            <w:r>
              <w:rPr>
                <w:rFonts w:ascii="Arial" w:cs="Arial" w:eastAsia="Arial" w:hAnsi="Arial"/>
                <w:sz w:val="13"/>
                <w:szCs w:val="13"/>
                <w:b w:val="1"/>
                <w:bCs w:val="1"/>
                <w:color w:val="auto"/>
              </w:rPr>
              <w:t>Balance at June 30, 2021</w:t>
            </w: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16,867</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168</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159,624</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689</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311,144</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471,625</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7"/>
              </w:rPr>
              <w:t>471,629</w:t>
            </w:r>
          </w:p>
        </w:tc>
      </w:tr>
      <w:tr>
        <w:trPr>
          <w:trHeight w:val="30"/>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23,171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23,171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23,171</w:t>
            </w:r>
          </w:p>
        </w:tc>
      </w:tr>
      <w:tr>
        <w:trPr>
          <w:trHeight w:val="173"/>
        </w:trPr>
        <w:tc>
          <w:tcPr>
            <w:tcW w:w="2680" w:type="dxa"/>
            <w:vAlign w:val="bottom"/>
            <w:gridSpan w:val="2"/>
          </w:tcPr>
          <w:p>
            <w:pPr>
              <w:ind w:left="20"/>
              <w:spacing w:after="0"/>
              <w:rPr>
                <w:sz w:val="20"/>
                <w:szCs w:val="20"/>
                <w:color w:val="auto"/>
              </w:rPr>
            </w:pPr>
            <w:r>
              <w:rPr>
                <w:rFonts w:ascii="Arial" w:cs="Arial" w:eastAsia="Arial" w:hAnsi="Arial"/>
                <w:sz w:val="13"/>
                <w:szCs w:val="13"/>
                <w:color w:val="auto"/>
              </w:rPr>
              <w:t>Stock issued under compensation plans, net</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54</w:t>
            </w:r>
          </w:p>
        </w:tc>
      </w:tr>
      <w:tr>
        <w:trPr>
          <w:trHeight w:val="30"/>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1,915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1,915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1,915</w:t>
            </w:r>
          </w:p>
        </w:tc>
      </w:tr>
      <w:tr>
        <w:trPr>
          <w:trHeight w:val="173"/>
        </w:trPr>
        <w:tc>
          <w:tcPr>
            <w:tcW w:w="2680" w:type="dxa"/>
            <w:vAlign w:val="bottom"/>
            <w:gridSpan w:val="2"/>
          </w:tcPr>
          <w:p>
            <w:pPr>
              <w:ind w:left="20"/>
              <w:spacing w:after="0"/>
              <w:rPr>
                <w:sz w:val="20"/>
                <w:szCs w:val="20"/>
                <w:color w:val="auto"/>
              </w:rPr>
            </w:pPr>
            <w:r>
              <w:rPr>
                <w:rFonts w:ascii="Arial" w:cs="Arial" w:eastAsia="Arial" w:hAnsi="Arial"/>
                <w:sz w:val="13"/>
                <w:szCs w:val="13"/>
                <w:color w:val="auto"/>
              </w:rPr>
              <w:t>Other comprehensive income</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(589)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(589)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(589)</w:t>
            </w:r>
          </w:p>
        </w:tc>
      </w:tr>
      <w:tr>
        <w:trPr>
          <w:trHeight w:val="30"/>
        </w:trPr>
        <w:tc>
          <w:tcPr>
            <w:tcW w:w="2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15"/>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September 30, 2021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161,593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334,315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496,176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496,180</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MYR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8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5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8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2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64,318</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40,609</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flows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2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 of property and equipment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32,884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32,021</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0" w:type="dxa"/>
            <w:vAlign w:val="bottom"/>
          </w:tcPr>
          <w:p>
            <w:pPr>
              <w:spacing w:after="0"/>
              <w:rPr>
                <w:sz w:val="1"/>
                <w:szCs w:val="1"/>
                <w:color w:val="auto"/>
              </w:rPr>
            </w:pPr>
          </w:p>
        </w:tc>
      </w:tr>
      <w:tr>
        <w:trPr>
          <w:trHeight w:val="243"/>
        </w:trPr>
        <w:tc>
          <w:tcPr>
            <w:tcW w:w="8520" w:type="dxa"/>
            <w:vAlign w:val="bottom"/>
            <w:gridSpan w:val="2"/>
          </w:tcPr>
          <w:p>
            <w:pPr>
              <w:ind w:left="34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5,350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3,804</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43"/>
        </w:trPr>
        <w:tc>
          <w:tcPr>
            <w:tcW w:w="8520" w:type="dxa"/>
            <w:vAlign w:val="bottom"/>
            <w:gridSpan w:val="2"/>
          </w:tcPr>
          <w:p>
            <w:pPr>
              <w:ind w:left="340"/>
              <w:spacing w:after="0"/>
              <w:rPr>
                <w:sz w:val="20"/>
                <w:szCs w:val="20"/>
                <w:color w:val="auto"/>
              </w:rPr>
            </w:pPr>
            <w:r>
              <w:rPr>
                <w:rFonts w:ascii="Arial" w:cs="Arial" w:eastAsia="Arial" w:hAnsi="Arial"/>
                <w:sz w:val="18"/>
                <w:szCs w:val="18"/>
                <w:color w:val="auto"/>
              </w:rPr>
              <w:t>Gain on sale of property and equipment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non-cash items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43"/>
        </w:trPr>
        <w:tc>
          <w:tcPr>
            <w:tcW w:w="8520" w:type="dxa"/>
            <w:vAlign w:val="bottom"/>
            <w:gridSpan w:val="2"/>
          </w:tcPr>
          <w:p>
            <w:pPr>
              <w:ind w:left="340"/>
              <w:spacing w:after="0"/>
              <w:rPr>
                <w:sz w:val="20"/>
                <w:szCs w:val="20"/>
                <w:color w:val="auto"/>
              </w:rPr>
            </w:pPr>
            <w:r>
              <w:rPr>
                <w:rFonts w:ascii="Arial" w:cs="Arial" w:eastAsia="Arial" w:hAnsi="Arial"/>
                <w:sz w:val="18"/>
                <w:szCs w:val="18"/>
                <w:color w:val="auto"/>
              </w:rPr>
              <w:t>Changes in operating assets and liabilities, net of acquisitions: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23,929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(12,869)</w:t>
            </w:r>
          </w:p>
        </w:tc>
        <w:tc>
          <w:tcPr>
            <w:tcW w:w="0" w:type="dxa"/>
            <w:vAlign w:val="bottom"/>
          </w:tcPr>
          <w:p>
            <w:pPr>
              <w:spacing w:after="0"/>
              <w:rPr>
                <w:sz w:val="1"/>
                <w:szCs w:val="1"/>
                <w:color w:val="auto"/>
              </w:rPr>
            </w:pPr>
          </w:p>
        </w:tc>
      </w:tr>
      <w:tr>
        <w:trPr>
          <w:trHeight w:val="243"/>
        </w:trPr>
        <w:tc>
          <w:tcPr>
            <w:tcW w:w="8520" w:type="dxa"/>
            <w:vAlign w:val="bottom"/>
            <w:gridSpan w:val="2"/>
          </w:tcPr>
          <w:p>
            <w:pPr>
              <w:ind w:left="460"/>
              <w:spacing w:after="0"/>
              <w:rPr>
                <w:sz w:val="20"/>
                <w:szCs w:val="20"/>
                <w:color w:val="auto"/>
              </w:rPr>
            </w:pPr>
            <w:r>
              <w:rPr>
                <w:rFonts w:ascii="Arial" w:cs="Arial" w:eastAsia="Arial" w:hAnsi="Arial"/>
                <w:sz w:val="18"/>
                <w:szCs w:val="18"/>
                <w:color w:val="auto"/>
              </w:rPr>
              <w:t>Contract assets, net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(33,642)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(4,754)</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Receivable for insurance claims in excess of deductibles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3,103</w:t>
            </w:r>
          </w:p>
        </w:tc>
        <w:tc>
          <w:tcPr>
            <w:tcW w:w="0" w:type="dxa"/>
            <w:vAlign w:val="bottom"/>
          </w:tcPr>
          <w:p>
            <w:pPr>
              <w:spacing w:after="0"/>
              <w:rPr>
                <w:sz w:val="1"/>
                <w:szCs w:val="1"/>
                <w:color w:val="auto"/>
              </w:rPr>
            </w:pPr>
          </w:p>
        </w:tc>
      </w:tr>
      <w:tr>
        <w:trPr>
          <w:trHeight w:val="243"/>
        </w:trPr>
        <w:tc>
          <w:tcPr>
            <w:tcW w:w="8520" w:type="dxa"/>
            <w:vAlign w:val="bottom"/>
            <w:gridSpan w:val="2"/>
          </w:tcPr>
          <w:p>
            <w:pPr>
              <w:ind w:left="46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(5,786)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7,074</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29,874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7,596</w:t>
            </w:r>
          </w:p>
        </w:tc>
        <w:tc>
          <w:tcPr>
            <w:tcW w:w="0" w:type="dxa"/>
            <w:vAlign w:val="bottom"/>
          </w:tcPr>
          <w:p>
            <w:pPr>
              <w:spacing w:after="0"/>
              <w:rPr>
                <w:sz w:val="1"/>
                <w:szCs w:val="1"/>
                <w:color w:val="auto"/>
              </w:rPr>
            </w:pPr>
          </w:p>
        </w:tc>
      </w:tr>
      <w:tr>
        <w:trPr>
          <w:trHeight w:val="243"/>
        </w:trPr>
        <w:tc>
          <w:tcPr>
            <w:tcW w:w="8520" w:type="dxa"/>
            <w:vAlign w:val="bottom"/>
            <w:gridSpan w:val="2"/>
          </w:tcPr>
          <w:p>
            <w:pPr>
              <w:ind w:left="460"/>
              <w:spacing w:after="0"/>
              <w:rPr>
                <w:sz w:val="20"/>
                <w:szCs w:val="20"/>
                <w:color w:val="auto"/>
              </w:rPr>
            </w:pPr>
            <w:r>
              <w:rPr>
                <w:rFonts w:ascii="Arial" w:cs="Arial" w:eastAsia="Arial" w:hAnsi="Arial"/>
                <w:sz w:val="18"/>
                <w:szCs w:val="18"/>
                <w:color w:val="auto"/>
              </w:rPr>
              <w:t>Contract liabilities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(8,515)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20,161</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Accrued self insurance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0" w:type="dxa"/>
            <w:vAlign w:val="bottom"/>
          </w:tcPr>
          <w:p>
            <w:pPr>
              <w:spacing w:after="0"/>
              <w:rPr>
                <w:sz w:val="1"/>
                <w:szCs w:val="1"/>
                <w:color w:val="auto"/>
              </w:rPr>
            </w:pPr>
          </w:p>
        </w:tc>
      </w:tr>
      <w:tr>
        <w:trPr>
          <w:trHeight w:val="243"/>
        </w:trPr>
        <w:tc>
          <w:tcPr>
            <w:tcW w:w="8520" w:type="dxa"/>
            <w:vAlign w:val="bottom"/>
            <w:gridSpan w:val="2"/>
          </w:tcPr>
          <w:p>
            <w:pPr>
              <w:ind w:left="46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(2,291)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31,730</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Net cash flows provided by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108,215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128,626</w:t>
            </w:r>
          </w:p>
        </w:tc>
        <w:tc>
          <w:tcPr>
            <w:tcW w:w="0" w:type="dxa"/>
            <w:vAlign w:val="bottom"/>
          </w:tcPr>
          <w:p>
            <w:pPr>
              <w:spacing w:after="0"/>
              <w:rPr>
                <w:sz w:val="1"/>
                <w:szCs w:val="1"/>
                <w:color w:val="auto"/>
              </w:rPr>
            </w:pPr>
          </w:p>
        </w:tc>
      </w:tr>
      <w:tr>
        <w:trPr>
          <w:trHeight w:val="223"/>
        </w:trPr>
        <w:tc>
          <w:tcPr>
            <w:tcW w:w="85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sale of 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43"/>
        </w:trPr>
        <w:tc>
          <w:tcPr>
            <w:tcW w:w="8520" w:type="dxa"/>
            <w:vAlign w:val="bottom"/>
            <w:gridSpan w:val="2"/>
          </w:tcPr>
          <w:p>
            <w:pPr>
              <w:ind w:left="14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(32,701)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(27,470)</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5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Net cash flows used in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(30,212)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(25,323)</w:t>
            </w:r>
          </w:p>
        </w:tc>
        <w:tc>
          <w:tcPr>
            <w:tcW w:w="0" w:type="dxa"/>
            <w:vAlign w:val="bottom"/>
          </w:tcPr>
          <w:p>
            <w:pPr>
              <w:spacing w:after="0"/>
              <w:rPr>
                <w:sz w:val="1"/>
                <w:szCs w:val="1"/>
                <w:color w:val="auto"/>
              </w:rPr>
            </w:pPr>
          </w:p>
        </w:tc>
      </w:tr>
      <w:tr>
        <w:trPr>
          <w:trHeight w:val="223"/>
        </w:trPr>
        <w:tc>
          <w:tcPr>
            <w:tcW w:w="85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repayments under revolving lines of credit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(65,189)</w:t>
            </w:r>
          </w:p>
        </w:tc>
        <w:tc>
          <w:tcPr>
            <w:tcW w:w="0" w:type="dxa"/>
            <w:vAlign w:val="bottom"/>
          </w:tcPr>
          <w:p>
            <w:pPr>
              <w:spacing w:after="0"/>
              <w:rPr>
                <w:sz w:val="1"/>
                <w:szCs w:val="1"/>
                <w:color w:val="auto"/>
              </w:rPr>
            </w:pPr>
          </w:p>
        </w:tc>
      </w:tr>
      <w:tr>
        <w:trPr>
          <w:trHeight w:val="243"/>
        </w:trPr>
        <w:tc>
          <w:tcPr>
            <w:tcW w:w="8520" w:type="dxa"/>
            <w:vAlign w:val="bottom"/>
            <w:gridSpan w:val="2"/>
          </w:tcPr>
          <w:p>
            <w:pPr>
              <w:ind w:left="140"/>
              <w:spacing w:after="0"/>
              <w:rPr>
                <w:sz w:val="20"/>
                <w:szCs w:val="20"/>
                <w:color w:val="auto"/>
              </w:rPr>
            </w:pPr>
            <w:r>
              <w:rPr>
                <w:rFonts w:ascii="Arial" w:cs="Arial" w:eastAsia="Arial" w:hAnsi="Arial"/>
                <w:sz w:val="18"/>
                <w:szCs w:val="18"/>
                <w:color w:val="auto"/>
              </w:rPr>
              <w:t>Payment of principal obligations under equipment notes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(24,409)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(30,441)</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Payment of principal obligations under finance leases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43"/>
        </w:trPr>
        <w:tc>
          <w:tcPr>
            <w:tcW w:w="8520" w:type="dxa"/>
            <w:vAlign w:val="bottom"/>
            <w:gridSpan w:val="2"/>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Repurchase of common shares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43"/>
        </w:trPr>
        <w:tc>
          <w:tcPr>
            <w:tcW w:w="8520" w:type="dxa"/>
            <w:vAlign w:val="bottom"/>
            <w:gridSpan w:val="2"/>
          </w:tcPr>
          <w:p>
            <w:pPr>
              <w:ind w:left="140"/>
              <w:spacing w:after="0"/>
              <w:rPr>
                <w:sz w:val="20"/>
                <w:szCs w:val="20"/>
                <w:color w:val="auto"/>
              </w:rPr>
            </w:pPr>
            <w:r>
              <w:rPr>
                <w:rFonts w:ascii="Arial" w:cs="Arial" w:eastAsia="Arial" w:hAnsi="Arial"/>
                <w:sz w:val="18"/>
                <w:szCs w:val="18"/>
                <w:color w:val="auto"/>
              </w:rPr>
              <w:t>Other financing activities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5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Net cash flows used in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(27,603)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(96,604)</w:t>
            </w:r>
          </w:p>
        </w:tc>
        <w:tc>
          <w:tcPr>
            <w:tcW w:w="0" w:type="dxa"/>
            <w:vAlign w:val="bottom"/>
          </w:tcPr>
          <w:p>
            <w:pPr>
              <w:spacing w:after="0"/>
              <w:rPr>
                <w:sz w:val="1"/>
                <w:szCs w:val="1"/>
                <w:color w:val="auto"/>
              </w:rPr>
            </w:pPr>
          </w:p>
        </w:tc>
      </w:tr>
      <w:tr>
        <w:trPr>
          <w:trHeight w:val="237"/>
        </w:trPr>
        <w:tc>
          <w:tcPr>
            <w:tcW w:w="8520" w:type="dxa"/>
            <w:vAlign w:val="bottom"/>
            <w:gridSpan w:val="2"/>
          </w:tcPr>
          <w:p>
            <w:pPr>
              <w:ind w:left="480"/>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increase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50,338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6,549</w:t>
            </w:r>
          </w:p>
        </w:tc>
        <w:tc>
          <w:tcPr>
            <w:tcW w:w="0" w:type="dxa"/>
            <w:vAlign w:val="bottom"/>
          </w:tcPr>
          <w:p>
            <w:pPr>
              <w:spacing w:after="0"/>
              <w:rPr>
                <w:sz w:val="1"/>
                <w:szCs w:val="1"/>
                <w:color w:val="auto"/>
              </w:rPr>
            </w:pPr>
          </w:p>
        </w:tc>
      </w:tr>
      <w:tr>
        <w:trPr>
          <w:trHeight w:val="243"/>
        </w:trPr>
        <w:tc>
          <w:tcPr>
            <w:tcW w:w="85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22,668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12,397</w:t>
            </w:r>
          </w:p>
        </w:tc>
        <w:tc>
          <w:tcPr>
            <w:tcW w:w="0" w:type="dxa"/>
            <w:vAlign w:val="bottom"/>
          </w:tcPr>
          <w:p>
            <w:pPr>
              <w:spacing w:after="0"/>
              <w:rPr>
                <w:sz w:val="1"/>
                <w:szCs w:val="1"/>
                <w:color w:val="auto"/>
              </w:rPr>
            </w:pPr>
          </w:p>
        </w:tc>
      </w:tr>
      <w:tr>
        <w:trPr>
          <w:trHeight w:val="264"/>
        </w:trPr>
        <w:tc>
          <w:tcPr>
            <w:tcW w:w="8520" w:type="dxa"/>
            <w:vAlign w:val="bottom"/>
            <w:gridSpan w:val="2"/>
          </w:tcPr>
          <w:p>
            <w:pPr>
              <w:ind w:left="140"/>
              <w:spacing w:after="0"/>
              <w:rPr>
                <w:sz w:val="20"/>
                <w:szCs w:val="20"/>
                <w:color w:val="auto"/>
              </w:rPr>
            </w:pPr>
            <w:r>
              <w:rPr>
                <w:rFonts w:ascii="Arial" w:cs="Arial" w:eastAsia="Arial" w:hAnsi="Arial"/>
                <w:sz w:val="18"/>
                <w:szCs w:val="18"/>
                <w:color w:val="auto"/>
              </w:rPr>
              <w:t>End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73,006</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18,946</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MYR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25" w:lineRule="exact"/>
        <w:rPr>
          <w:sz w:val="20"/>
          <w:szCs w:val="20"/>
          <w:color w:val="auto"/>
        </w:rPr>
      </w:pPr>
    </w:p>
    <w:p>
      <w:pPr>
        <w:ind w:right="7280" w:firstLine="8"/>
        <w:spacing w:after="0" w:line="503"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Business and Basis of Presentation Organization and Business</w:t>
      </w:r>
    </w:p>
    <w:p>
      <w:pPr>
        <w:ind w:firstLine="648"/>
        <w:spacing w:after="0" w:line="291" w:lineRule="auto"/>
        <w:rPr>
          <w:sz w:val="20"/>
          <w:szCs w:val="20"/>
          <w:color w:val="auto"/>
        </w:rPr>
      </w:pPr>
      <w:r>
        <w:rPr>
          <w:rFonts w:ascii="Arial" w:cs="Arial" w:eastAsia="Arial" w:hAnsi="Arial"/>
          <w:sz w:val="16"/>
          <w:szCs w:val="16"/>
          <w:color w:val="auto"/>
        </w:rPr>
        <w:t>MYR Group Inc. (the “Company”) is a holding company of specialty electrical construction service providers and is currently conducting operations through wholly owned subsidiaries, including: The L. E. Myers Co., a Delaware corporation; Harlan Electric Company, a Michigan corporation; Great Southwestern Construction, Inc., a Colorado corporation; Sturgeon Electric Company, Inc., a Michigan corporation; MYR Energy Services, Inc., a Delaware corporation; E.S. Boulos Company, a Delaware corporation; High Country Line Construction, Inc., a Nevada corporation; Sturgeon Electric California, LLC, a Delaware limited liability company; GSW Integrated Services, LLC, a Delaware limited liability company; Huen Electric, Inc., a Delaware corporation; CSI Electrical Contractors, Inc., a Delaware corporation; MYR Transmission Services Canada, Ltd., a British Columbia corporation; Northern Transmission Services, Ltd., a British Columbia corporation and Western Pacific Enterprises Ltd., a British Columbia corporation.</w:t>
      </w:r>
    </w:p>
    <w:p>
      <w:pPr>
        <w:spacing w:after="0" w:line="166"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The Company performs construction services in two business segments: Transmission and Distribution (“T&amp;D”), and Commercial and Industrial (“C&amp;I”). T&amp;D customers include investor-owned utilities, cooperatives, private developers, government-funded utilities, independent power producers, independent transmission companies, industrial facility owners and other contractors. T&amp;D provides a broad range of services, which include design, engineering, procurement, construction, upgrade, maintenance and repair services, with a particular focus on construction, maintenance and repair. C&amp;I customers include general contractors, commercial and industrial facility owners, government agencies and developers. C&amp;I provides a broad range of services, which include the design, installation, maintenance and repair of commercial and industrial wiring, the installation of traffic networks and the installation of bridge, roadway and tunnel lighting.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Interim Consolidated Financial Information</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accompanying unaudited consolidated financial statements of the Company were prepared in accordance with accounting principles generally accepted in the United States of America (“U.S. GAAP”) for interim financial reporting pursuant to the rules and regulations of the Securities and Exchange Commission (“SEC”). Certain information and footnote disclosures normally included in annual financial statements prepared in accordance with U.S. GAAP have been condensed or omitted pursuant to the rules and regulations of the SEC. The Company believes that the disclosures made are adequate to make the information presented not misleading. In the opinion of management, all adjustments, consisting only of normal recurring adjustments, necessary to fairly state the financial position, results of operations, comprehensive income, stockholders’ equity and cash flows with respect to the interim consolidated financial statements, have been included. Certain reclassifications were made to prior year amounts to conform to the current year presentation. The consolidated balance sheet as of December 31, 2020 has been derived from the audited financial statements as of that date. The results of operations and comprehensive income are not necessarily indicative of the results for the full year or the results for any future periods. These financial statements should be read in conjunction with the audited financial statements and related notes for the year ended December 31, 2020, included in the Company’s Annual Report on Form 10-K, which was filed with the SEC on March 3, 2021 (the "2020 Annual Report").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Ventures and Noncontrolling Interests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Company accounts for investments in joint ventures using the proportionate consolidation method for income statement reporting and under the equity method for balance sheet reporting, unless the Company has a controlling interest causing the joint venture to be consolidated with equity owned by other joint venture partners recorded as noncontrolling interests. Under the proportionate consolidation method, joint venture activity is allocated to the appropriate line items found on the consolidated statements of operations in proportion to the percentage of participation the Company has in the joint venture. Under the equity method the net investment in joint ventures is stated as a single item on the Company’s consolidated balance sheets. If an investment in a joint venture contains a recourse or unfunded commitments to provide additional equity, distributions and/or losses in excess of the investment, a liability is recorded in other current liabilities on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For joint ventures in which the Company does not have a controlling interest, the Company’s share of any profits and assets and its share of any losses and liabilities are recognized based on the Company’s stated percentage partnership interest in the joint venture, and are normally recorded by the Company one month in arrears. The investments in joint ventures are recorded at cost and the carrying amounts are adjusted to recognize the Company’s proportionate share of cumulative income or loss, additional contributions made and dividends and capital distributions received. The Company records the effect of any impairment or any other-than-temporary decrease in the value of the joint venture investment as incurred, which may or may not be one month in arrears, depending on when the Company obtains the joint venture activity information. Additionally, the Company continually assesses the fair value of its investment in unconsolidated joint ventures despite using information that is one month in arrears for regular reporting purposes. The Company includes only its percentage ownership of each joint venture in its backlog.</w:t>
      </w:r>
    </w:p>
    <w:p>
      <w:pPr>
        <w:spacing w:after="0" w:line="178"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Company is the majority controlling interest in a joint venture. As a result, the Company has consolidated the carrying value of the joint ventures’ assets and liabilities and results of operations in the Company’s consolidated financial statements. The equity owned by the other joint venture partners has been recorded as noncontrolling interest in the Company’s consolidated balance sheets, consolidated statements of stockholders’ equity, and their portions, if material, of net income (loss) and other comprehensive income shown as net income or other comprehensive income attributable to noncontrolling interest in the Company’s consolidated statements of operations and other comprehensive income. Additionally, the joint venture associated with the Company’s noncontrolling interest is a partnership, and consequently, the tax effect of only the Company’s share of the joint venture income is recognized by the Company. The majority controlled joint venture made no distributions to its partners, and the Company made no capital contributions to the joint venture, during the three and nine months ended September 30, 2021. Additionally, there have been no changes in ownership during the three and nine months ended September 30, 2021. The project associated with this joint venture was substantially completed in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functional currency for the Company’s Canadian operations is the Canadian dollar. Assets and liabilities denominated in Canadian dollars are translated into U.S. dollars at the end-of-period exchange rate. Revenues and expenses are translated using average exchange rates for the periods reported. Equity accounts are translated at historical rates. Cumulative translation adjustments are included as a separate component of accumulated other comprehensive income in shareholders’ equity. Foreign currency transaction gains and losses, arising primarily from changes in exchange rates on short-term monetary assets and liabilities, and ineffective long-term monetary assets and liabilities are recorded in the “other income, net” line on the Company’s consolidated statements of operations. Foreign currency losses, recorded in other income, net, for the nine months ended September 30, 2021 were $0.1 million. Foreign currency gains, recorded in other income, net, for the nine months ended September 30, 2020 were not significant. Effective foreign currency transaction gains and losses, arising primarily from long-term monetary assets and liabilities, are recorded in the foreign currency translation adjustment line on the Company’s consolidated statements of comprehensive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revenues and expenses during the period reported. Actual results could differ from those estimates.</w:t>
      </w:r>
    </w:p>
    <w:p>
      <w:pPr>
        <w:spacing w:after="0" w:line="18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most significant estimates are related to estimates of costs to complete contracts, pending change orders and claims, shared savings, insurance reserves, income tax reserves, estimates surrounding stock-based compensation, the recoverability of goodwill and intangibles and allowance for doubtful accounts. The Company estimates a cost accrual every quarter that represents costs incurred but not invoiced for services performed or goods delivered during the period, and estimates revenue from the contract cost portion of these accruals based on current gross margin rates to be consistent with its cost method of revenue recognition.</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of September 30, 2021 and 2020, the Company had recognized revenues of $4.0 million and $19.1 million, respectively, related to significant change orders and/or claims that had been included as contract price adjustments on certain contracts, some of which are multi-year projects. These change orders and/or claims are in the process of being negotiated in the normal course of business, and a portion of these recognized revenues had been included in multiple periods.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cost-to-cost method of accounting requires the Company to make estimates about the expected revenue and gross profit on each of its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contracts in process. During the three months ended September 30, 2021, changes in estimates pertaining to certain projects increased consolidated gross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margin by 1.4%, which resulted in increases in operating income of $8.2 million, net income of $5.9 million and diluted earnings per common share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$0.35. During the nine months ended September 30, 2021, changes in estimates pertaining to certain projects increased consolidated gross margin by 0.4%,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which resulted in increases in operating income of $7.2 million, net income of $5.2 million and diluted earnings per common share of $0.30.</w:t>
      </w:r>
    </w:p>
    <w:p>
      <w:pPr>
        <w:spacing w:after="0" w:line="211"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During the three months ended September 30, 2020, changes in estimates pertaining to certain projects decreased consolidated gross margin by 0.3%, which resulted in decreases in operating income of $1.9 million, net income of $1.5 million and diluted earnings per common share of $0.09. During the nine months ended September 30, 2020, changes in estimates pertaining to certain projects decreased consolidated gross margin by 0.4%, which resulted in decreases in operating income of $7.6 million, net income of $5.5 million and diluted earnings per common share of $0.33.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380" w:firstLine="648"/>
        <w:spacing w:after="0" w:line="259" w:lineRule="auto"/>
        <w:rPr>
          <w:sz w:val="20"/>
          <w:szCs w:val="20"/>
          <w:color w:val="auto"/>
        </w:rPr>
      </w:pPr>
      <w:r>
        <w:rPr>
          <w:rFonts w:ascii="Arial" w:cs="Arial" w:eastAsia="Arial" w:hAnsi="Arial"/>
          <w:sz w:val="18"/>
          <w:szCs w:val="18"/>
          <w:color w:val="auto"/>
        </w:rPr>
        <w:t>Changes to U.S. GAAP are typically established by the Financial Accounting Standards Board (“FASB”) in the form of accounting standards updates (“ASUs”) to the FASB’s Accounting Standards Codification (“ASC”). The Company considers the applicability and impact of all ASUs. The Company, based on its assessment, determined that any recently issued or proposed ASUs not listed below are either not applicable to the Company or adoption will have minimal impact on its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which simplifies the accounting for income taxes, eliminates certain exceptions within ASC 740, Income Taxes, and clarifies certain aspects of the current guidance to promote consistent application among reporting entities. The Company adopted this ASU in January 2021 and there was no effect on the consolidated financial statements or disclosures.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Contract Assets and Liabilities</w:t>
      </w:r>
    </w:p>
    <w:p>
      <w:pPr>
        <w:spacing w:after="0" w:line="22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Contracts with customers usually stipulate the timing of payment, which is defined by the terms found within the various contracts under which work was performed during the period. Therefore, contract assets and liabilities are created when the timing of costs incurred on work performed does not coincide with the billing terms, which frequently include retention provisions contained in each contract.</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Company’s consolidated balance sheets present contract assets, which contain unbilled revenue and contract retainages associated with contract work that has been completed and billed but not paid by customers, pursuant to retainage provisions, that are generally due once the job is completed and approved. The allowance for doubtful accounts associated with contract assets was $0.4 million as of September 30, 2021 and December 31, 2020.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 assets consisted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0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7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7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Unbilled revenue,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35,056</w:t>
            </w:r>
          </w:p>
        </w:tc>
        <w:tc>
          <w:tcPr>
            <w:tcW w:w="0" w:type="dxa"/>
            <w:vAlign w:val="bottom"/>
          </w:tcPr>
          <w:p>
            <w:pPr>
              <w:spacing w:after="0"/>
              <w:rPr>
                <w:sz w:val="1"/>
                <w:szCs w:val="1"/>
                <w:color w:val="auto"/>
              </w:rPr>
            </w:pPr>
          </w:p>
        </w:tc>
      </w:tr>
      <w:tr>
        <w:trPr>
          <w:trHeight w:val="229"/>
        </w:trPr>
        <w:tc>
          <w:tcPr>
            <w:tcW w:w="7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Contract retainages, net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86,846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88,260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94"/>
              </w:rPr>
              <w:t>(1,414)</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Contract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33,642</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Company’s consolidated balance sheets present contract liabilities which contain deferred revenue and an accrual for contracts in a loss provision.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 liabilities consisted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3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7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(8,966)</w:t>
            </w:r>
          </w:p>
        </w:tc>
        <w:tc>
          <w:tcPr>
            <w:tcW w:w="0" w:type="dxa"/>
            <w:vAlign w:val="bottom"/>
          </w:tcPr>
          <w:p>
            <w:pPr>
              <w:spacing w:after="0"/>
              <w:rPr>
                <w:sz w:val="1"/>
                <w:szCs w:val="1"/>
                <w:color w:val="auto"/>
              </w:rPr>
            </w:pPr>
          </w:p>
        </w:tc>
      </w:tr>
      <w:tr>
        <w:trPr>
          <w:trHeight w:val="229"/>
        </w:trPr>
        <w:tc>
          <w:tcPr>
            <w:tcW w:w="7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Accrued loss provision</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(8,549)</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9920" w:type="dxa"/>
            <w:vAlign w:val="bottom"/>
            <w:gridSpan w:val="8"/>
          </w:tcPr>
          <w:p>
            <w:pPr>
              <w:ind w:left="660"/>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2"/>
                <w:szCs w:val="22"/>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22"/>
                <w:szCs w:val="22"/>
                <w:color w:val="auto"/>
              </w:rPr>
            </w:pPr>
          </w:p>
        </w:tc>
        <w:tc>
          <w:tcPr>
            <w:tcW w:w="104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7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7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 assets,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33,642</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Contract liabilities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(149,847)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(158,396)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8,549</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contract assets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42,191</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difference between the opening and closing balances of the Company’s contract assets and contract liabilities primarily results from the timing of the Company’s billings in relation to its performance of work. The amounts of revenue recognized in the period that were included in the opening contract liability balances were $13.8 million and $98.0 million for the three and nine months ended September 30, 2021, respectively. The amounts of revenue recognized in the period that were included in the opening contract liability balances were $31.3 million and $57.7 million for the three and nine months ended September 30, 2020, respectively. This revenue consists primarily of work performed on previous billings to customers.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asset position for contracts in process consisted of the following:</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ind w:left="34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1"/>
        </w:trPr>
        <w:tc>
          <w:tcPr>
            <w:tcW w:w="84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Costs and estimated earnings on uncompleted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3,969,565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3,921,376</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billings to date</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4"/>
              </w:rPr>
              <w:t>3,983,570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7"/>
              </w:rPr>
              <w:t>3,979,403</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92"/>
              </w:rPr>
              <w:t>(14,005)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2"/>
              </w:rPr>
              <w:t>(58,027)</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The net asset position for contracts in process is included within the contract asset and contract liability in the accompanying consolidated balance sheets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00" w:type="dxa"/>
            <w:vAlign w:val="bottom"/>
          </w:tcPr>
          <w:p>
            <w:pPr>
              <w:jc w:val="right"/>
              <w:ind w:right="197"/>
              <w:spacing w:after="0"/>
              <w:rPr>
                <w:sz w:val="20"/>
                <w:szCs w:val="20"/>
                <w:color w:val="auto"/>
              </w:rPr>
            </w:pPr>
            <w:r>
              <w:rPr>
                <w:rFonts w:ascii="Arial" w:cs="Arial" w:eastAsia="Arial" w:hAnsi="Arial"/>
                <w:sz w:val="14"/>
                <w:szCs w:val="14"/>
                <w:b w:val="1"/>
                <w:bCs w:val="1"/>
                <w:color w:val="auto"/>
                <w:w w:val="98"/>
              </w:rPr>
              <w:t>December 31,</w:t>
            </w:r>
          </w:p>
        </w:tc>
      </w:tr>
      <w:tr>
        <w:trPr>
          <w:trHeight w:val="186"/>
        </w:trPr>
        <w:tc>
          <w:tcPr>
            <w:tcW w:w="83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6"/>
                <w:szCs w:val="16"/>
                <w:color w:val="auto"/>
              </w:rPr>
            </w:pPr>
          </w:p>
        </w:tc>
        <w:tc>
          <w:tcPr>
            <w:tcW w:w="1220" w:type="dxa"/>
            <w:vAlign w:val="bottom"/>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7"/>
              <w:spacing w:after="0"/>
              <w:rPr>
                <w:sz w:val="20"/>
                <w:szCs w:val="20"/>
                <w:color w:val="auto"/>
              </w:rPr>
            </w:pPr>
            <w:r>
              <w:rPr>
                <w:rFonts w:ascii="Arial" w:cs="Arial" w:eastAsia="Arial" w:hAnsi="Arial"/>
                <w:sz w:val="14"/>
                <w:szCs w:val="14"/>
                <w:b w:val="1"/>
                <w:bCs w:val="1"/>
                <w:color w:val="auto"/>
              </w:rPr>
              <w:t>2020</w:t>
            </w:r>
          </w:p>
        </w:tc>
      </w:tr>
      <w:tr>
        <w:trPr>
          <w:trHeight w:val="25"/>
        </w:trPr>
        <w:tc>
          <w:tcPr>
            <w:tcW w:w="8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8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0"/>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Unbilled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97,543</w:t>
            </w:r>
          </w:p>
        </w:tc>
      </w:tr>
      <w:tr>
        <w:trPr>
          <w:trHeight w:val="243"/>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(146,604)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(155,570)</w:t>
            </w:r>
          </w:p>
        </w:tc>
      </w:tr>
      <w:tr>
        <w:trPr>
          <w:trHeight w:val="27"/>
        </w:trPr>
        <w:tc>
          <w:tcPr>
            <w:tcW w:w="8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8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(58,027)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Lease Obligations</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From time-to-time,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one to six years, some of which may include options to extend the leases for up to five years, and some of which may include options to terminate the leases within one year. Currently, all the Company’s leases contain fixed payment terms. The Company may decide to cancel or terminate a lease before the end of its term, in which case we are typically liable to the lessor for the remaining lease payments under the term of the lease. Additionally, all of the Company's month-to-month leases are cancelable, by the Company or the lessor, at any time and are not included in our right-of-use asset or liability. At September 30, 2021, the Company had several leases with residual value guarantees. Typically, the Company has purchase options on the equipment underlying its long-term leases and many of its short-term rental arrangements. The Company may exercise some of these purchase options when the need for equipment is on-going and the purchase option price is attractive. Leases are accounted for as operating or finance leases, depending on the terms of the lease.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lease-related assets and liabilities recorded: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6"/>
        </w:trPr>
        <w:tc>
          <w:tcPr>
            <w:tcW w:w="33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5200" w:type="dxa"/>
            <w:vAlign w:val="bottom"/>
            <w:gridSpan w:val="3"/>
          </w:tcPr>
          <w:p>
            <w:pPr>
              <w:ind w:left="20"/>
              <w:spacing w:after="0"/>
              <w:rPr>
                <w:sz w:val="20"/>
                <w:szCs w:val="20"/>
                <w:color w:val="auto"/>
              </w:rPr>
            </w:pPr>
            <w:r>
              <w:rPr>
                <w:rFonts w:ascii="Arial" w:cs="Arial" w:eastAsia="Arial" w:hAnsi="Arial"/>
                <w:sz w:val="14"/>
                <w:szCs w:val="14"/>
                <w:b w:val="1"/>
                <w:bCs w:val="1"/>
                <w:color w:val="auto"/>
              </w:rPr>
              <w:t>Classification on the Consolidated Balance Sheet</w:t>
            </w:r>
          </w:p>
        </w:tc>
        <w:tc>
          <w:tcPr>
            <w:tcW w:w="160" w:type="dxa"/>
            <w:vAlign w:val="bottom"/>
          </w:tcPr>
          <w:p>
            <w:pPr>
              <w:spacing w:after="0"/>
              <w:rPr>
                <w:sz w:val="16"/>
                <w:szCs w:val="16"/>
                <w:color w:val="auto"/>
              </w:rPr>
            </w:pPr>
          </w:p>
        </w:tc>
        <w:tc>
          <w:tcPr>
            <w:tcW w:w="1020" w:type="dxa"/>
            <w:vAlign w:val="bottom"/>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2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4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assets</w:t>
            </w:r>
          </w:p>
        </w:tc>
        <w:tc>
          <w:tcPr>
            <w:tcW w:w="5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140"/>
              <w:spacing w:after="0"/>
              <w:rPr>
                <w:sz w:val="20"/>
                <w:szCs w:val="20"/>
                <w:color w:val="auto"/>
              </w:rPr>
            </w:pPr>
            <w:r>
              <w:rPr>
                <w:rFonts w:ascii="Arial" w:cs="Arial" w:eastAsia="Arial" w:hAnsi="Arial"/>
                <w:sz w:val="18"/>
                <w:szCs w:val="18"/>
                <w:color w:val="auto"/>
              </w:rPr>
              <w:t>Finance lease right-of-use assets</w:t>
            </w:r>
          </w:p>
        </w:tc>
        <w:tc>
          <w:tcPr>
            <w:tcW w:w="5200" w:type="dxa"/>
            <w:vAlign w:val="bottom"/>
            <w:gridSpan w:val="3"/>
          </w:tcPr>
          <w:p>
            <w:pPr>
              <w:ind w:left="20"/>
              <w:spacing w:after="0"/>
              <w:rPr>
                <w:sz w:val="20"/>
                <w:szCs w:val="20"/>
                <w:color w:val="auto"/>
              </w:rPr>
            </w:pPr>
            <w:r>
              <w:rPr>
                <w:rFonts w:ascii="Arial" w:cs="Arial" w:eastAsia="Arial" w:hAnsi="Arial"/>
                <w:sz w:val="18"/>
                <w:szCs w:val="18"/>
                <w:color w:val="auto"/>
              </w:rPr>
              <w:t>Property and equipment, net of accumulated depreciation</w:t>
            </w:r>
          </w:p>
        </w:tc>
        <w:tc>
          <w:tcPr>
            <w:tcW w:w="160" w:type="dxa"/>
            <w:vAlign w:val="bottom"/>
          </w:tcPr>
          <w:p>
            <w:pPr>
              <w:spacing w:after="0"/>
              <w:rPr>
                <w:sz w:val="21"/>
                <w:szCs w:val="21"/>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right-of-use lease assets</w:t>
            </w:r>
          </w:p>
        </w:tc>
        <w:tc>
          <w:tcPr>
            <w:tcW w:w="49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21,447</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4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4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 obligations</w:t>
            </w:r>
          </w:p>
        </w:tc>
        <w:tc>
          <w:tcPr>
            <w:tcW w:w="5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Current portion of operating lease obligations</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140"/>
              <w:spacing w:after="0"/>
              <w:rPr>
                <w:sz w:val="20"/>
                <w:szCs w:val="20"/>
                <w:color w:val="auto"/>
              </w:rPr>
            </w:pPr>
            <w:r>
              <w:rPr>
                <w:rFonts w:ascii="Arial" w:cs="Arial" w:eastAsia="Arial" w:hAnsi="Arial"/>
                <w:sz w:val="18"/>
                <w:szCs w:val="18"/>
                <w:color w:val="auto"/>
              </w:rPr>
              <w:t>Finance lease obligations</w:t>
            </w:r>
          </w:p>
        </w:tc>
        <w:tc>
          <w:tcPr>
            <w:tcW w:w="5200" w:type="dxa"/>
            <w:vAlign w:val="bottom"/>
            <w:gridSpan w:val="3"/>
          </w:tcPr>
          <w:p>
            <w:pPr>
              <w:ind w:left="20"/>
              <w:spacing w:after="0"/>
              <w:rPr>
                <w:sz w:val="20"/>
                <w:szCs w:val="20"/>
                <w:color w:val="auto"/>
              </w:rPr>
            </w:pPr>
            <w:r>
              <w:rPr>
                <w:rFonts w:ascii="Arial" w:cs="Arial" w:eastAsia="Arial" w:hAnsi="Arial"/>
                <w:sz w:val="18"/>
                <w:szCs w:val="18"/>
                <w:color w:val="auto"/>
              </w:rPr>
              <w:t>Current portion of finance lease obligations</w:t>
            </w:r>
          </w:p>
        </w:tc>
        <w:tc>
          <w:tcPr>
            <w:tcW w:w="160" w:type="dxa"/>
            <w:vAlign w:val="bottom"/>
          </w:tcPr>
          <w:p>
            <w:pPr>
              <w:spacing w:after="0"/>
              <w:rPr>
                <w:sz w:val="21"/>
                <w:szCs w:val="21"/>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current obligations</w:t>
            </w:r>
          </w:p>
        </w:tc>
        <w:tc>
          <w:tcPr>
            <w:tcW w:w="4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Non-current</w:t>
            </w:r>
          </w:p>
        </w:tc>
        <w:tc>
          <w:tcPr>
            <w:tcW w:w="4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 obligations</w:t>
            </w:r>
          </w:p>
        </w:tc>
        <w:tc>
          <w:tcPr>
            <w:tcW w:w="5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Operating lease obligations, net of current maturities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320" w:type="dxa"/>
            <w:vAlign w:val="bottom"/>
            <w:gridSpan w:val="2"/>
          </w:tcPr>
          <w:p>
            <w:pPr>
              <w:ind w:left="140"/>
              <w:spacing w:after="0"/>
              <w:rPr>
                <w:sz w:val="20"/>
                <w:szCs w:val="20"/>
                <w:color w:val="auto"/>
              </w:rPr>
            </w:pPr>
            <w:r>
              <w:rPr>
                <w:rFonts w:ascii="Arial" w:cs="Arial" w:eastAsia="Arial" w:hAnsi="Arial"/>
                <w:sz w:val="18"/>
                <w:szCs w:val="18"/>
                <w:color w:val="auto"/>
              </w:rPr>
              <w:t>Total non-current obligations</w:t>
            </w:r>
          </w:p>
        </w:tc>
        <w:tc>
          <w:tcPr>
            <w:tcW w:w="4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14,015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lease obligations</w:t>
            </w:r>
          </w:p>
        </w:tc>
        <w:tc>
          <w:tcPr>
            <w:tcW w:w="49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21,466</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gridSpan w:val="5"/>
            <w:vMerge w:val="restart"/>
          </w:tcPr>
          <w:p>
            <w:pPr>
              <w:ind w:left="660"/>
              <w:spacing w:after="0"/>
              <w:rPr>
                <w:sz w:val="20"/>
                <w:szCs w:val="20"/>
                <w:color w:val="auto"/>
              </w:rPr>
            </w:pPr>
            <w:r>
              <w:rPr>
                <w:rFonts w:ascii="Arial" w:cs="Arial" w:eastAsia="Arial" w:hAnsi="Arial"/>
                <w:sz w:val="18"/>
                <w:szCs w:val="18"/>
                <w:color w:val="auto"/>
              </w:rPr>
              <w:t>The following is a summary of the lease terms and discount rates: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52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4"/>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24"/>
                <w:szCs w:val="2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6"/>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260" w:type="dxa"/>
            <w:vAlign w:val="bottom"/>
            <w:tcBorders>
              <w:bottom w:val="single" w:sz="8" w:color="CCEEFF"/>
            </w:tcBorders>
            <w:gridSpan w:val="3"/>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5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 finance leases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zero years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 years</w:t>
            </w:r>
          </w:p>
        </w:tc>
        <w:tc>
          <w:tcPr>
            <w:tcW w:w="0" w:type="dxa"/>
            <w:vAlign w:val="bottom"/>
          </w:tcPr>
          <w:p>
            <w:pPr>
              <w:spacing w:after="0"/>
              <w:rPr>
                <w:sz w:val="1"/>
                <w:szCs w:val="1"/>
                <w:color w:val="auto"/>
              </w:rPr>
            </w:pPr>
          </w:p>
        </w:tc>
      </w:tr>
      <w:tr>
        <w:trPr>
          <w:trHeight w:val="243"/>
        </w:trPr>
        <w:tc>
          <w:tcPr>
            <w:tcW w:w="8520" w:type="dxa"/>
            <w:vAlign w:val="bottom"/>
            <w:gridSpan w:val="5"/>
          </w:tcPr>
          <w:p>
            <w:pPr>
              <w:ind w:left="20"/>
              <w:spacing w:after="0"/>
              <w:rPr>
                <w:sz w:val="20"/>
                <w:szCs w:val="20"/>
                <w:color w:val="auto"/>
              </w:rPr>
            </w:pPr>
            <w:r>
              <w:rPr>
                <w:rFonts w:ascii="Arial" w:cs="Arial" w:eastAsia="Arial" w:hAnsi="Arial"/>
                <w:sz w:val="18"/>
                <w:szCs w:val="18"/>
                <w:color w:val="auto"/>
              </w:rPr>
              <w:t>Weighted-average remaining lease term - operating leases</w:t>
            </w:r>
          </w:p>
        </w:tc>
        <w:tc>
          <w:tcPr>
            <w:tcW w:w="160" w:type="dxa"/>
            <w:vAlign w:val="bottom"/>
          </w:tcPr>
          <w:p>
            <w:pPr>
              <w:spacing w:after="0"/>
              <w:rPr>
                <w:sz w:val="21"/>
                <w:szCs w:val="21"/>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3.0 years</w:t>
            </w:r>
          </w:p>
        </w:tc>
        <w:tc>
          <w:tcPr>
            <w:tcW w:w="14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3.4 years</w:t>
            </w:r>
          </w:p>
        </w:tc>
        <w:tc>
          <w:tcPr>
            <w:tcW w:w="0" w:type="dxa"/>
            <w:vAlign w:val="bottom"/>
          </w:tcPr>
          <w:p>
            <w:pPr>
              <w:spacing w:after="0"/>
              <w:rPr>
                <w:sz w:val="1"/>
                <w:szCs w:val="1"/>
                <w:color w:val="auto"/>
              </w:rPr>
            </w:pPr>
          </w:p>
        </w:tc>
      </w:tr>
      <w:tr>
        <w:trPr>
          <w:trHeight w:val="27"/>
        </w:trPr>
        <w:tc>
          <w:tcPr>
            <w:tcW w:w="8260" w:type="dxa"/>
            <w:vAlign w:val="bottom"/>
            <w:gridSpan w:val="3"/>
          </w:tcPr>
          <w:p>
            <w:pPr>
              <w:spacing w:after="0"/>
              <w:rPr>
                <w:sz w:val="2"/>
                <w:szCs w:val="2"/>
                <w:color w:val="auto"/>
              </w:rPr>
            </w:pPr>
          </w:p>
        </w:tc>
        <w:tc>
          <w:tcPr>
            <w:tcW w:w="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Weighted-average discount rate - finance leases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43"/>
        </w:trPr>
        <w:tc>
          <w:tcPr>
            <w:tcW w:w="8520" w:type="dxa"/>
            <w:vAlign w:val="bottom"/>
            <w:gridSpan w:val="5"/>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certain information related to the lease costs for finance and operating leases: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18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5780" w:type="dxa"/>
            <w:vAlign w:val="bottom"/>
            <w:gridSpan w:val="2"/>
            <w:vMerge w:val="continue"/>
          </w:tcPr>
          <w:p>
            <w:pPr>
              <w:spacing w:after="0"/>
              <w:rPr>
                <w:sz w:val="16"/>
                <w:szCs w:val="16"/>
                <w:color w:val="auto"/>
              </w:rPr>
            </w:pPr>
          </w:p>
        </w:tc>
        <w:tc>
          <w:tcPr>
            <w:tcW w:w="780" w:type="dxa"/>
            <w:vAlign w:val="bottom"/>
          </w:tcPr>
          <w:p>
            <w:pPr>
              <w:spacing w:after="0"/>
              <w:rPr>
                <w:sz w:val="16"/>
                <w:szCs w:val="16"/>
                <w:color w:val="auto"/>
              </w:rPr>
            </w:pPr>
          </w:p>
        </w:tc>
        <w:tc>
          <w:tcPr>
            <w:tcW w:w="140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60" w:type="dxa"/>
            <w:vAlign w:val="bottom"/>
            <w:tcBorders>
              <w:top w:val="single" w:sz="8" w:color="auto"/>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Lease cost:</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80" w:type="dxa"/>
            <w:vAlign w:val="bottom"/>
            <w:gridSpan w:val="2"/>
          </w:tcPr>
          <w:p>
            <w:pPr>
              <w:ind w:left="140"/>
              <w:spacing w:after="0"/>
              <w:rPr>
                <w:sz w:val="20"/>
                <w:szCs w:val="20"/>
                <w:color w:val="auto"/>
              </w:rPr>
            </w:pPr>
            <w:r>
              <w:rPr>
                <w:rFonts w:ascii="Arial" w:cs="Arial" w:eastAsia="Arial" w:hAnsi="Arial"/>
                <w:sz w:val="18"/>
                <w:szCs w:val="18"/>
                <w:color w:val="auto"/>
              </w:rPr>
              <w:t>Finance lease cost:</w:t>
            </w: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right-of-use assets</w:t>
            </w: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30"/>
        </w:trPr>
        <w:tc>
          <w:tcPr>
            <w:tcW w:w="5780" w:type="dxa"/>
            <w:vAlign w:val="bottom"/>
            <w:gridSpan w:val="2"/>
          </w:tcPr>
          <w:p>
            <w:pPr>
              <w:ind w:left="220"/>
              <w:spacing w:after="0"/>
              <w:rPr>
                <w:sz w:val="20"/>
                <w:szCs w:val="20"/>
                <w:color w:val="auto"/>
              </w:rPr>
            </w:pPr>
            <w:r>
              <w:rPr>
                <w:rFonts w:ascii="Arial" w:cs="Arial" w:eastAsia="Arial" w:hAnsi="Arial"/>
                <w:sz w:val="18"/>
                <w:szCs w:val="18"/>
                <w:color w:val="auto"/>
              </w:rPr>
              <w:t>Interest on lease liabilities</w:t>
            </w:r>
          </w:p>
        </w:tc>
        <w:tc>
          <w:tcPr>
            <w:tcW w:w="7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 cost</w:t>
            </w:r>
          </w:p>
        </w:tc>
        <w:tc>
          <w:tcPr>
            <w:tcW w:w="7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2,515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Variable lease costs</w:t>
            </w:r>
          </w:p>
        </w:tc>
        <w:tc>
          <w:tcPr>
            <w:tcW w:w="7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lease cost</w:t>
            </w: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2,604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2,680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7,898</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other information and supplemental cash flow information related to finance and operating leases: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Nine months ended September 30,</w:t>
            </w:r>
          </w:p>
        </w:tc>
      </w:tr>
      <w:tr>
        <w:trPr>
          <w:trHeight w:val="216"/>
        </w:trPr>
        <w:tc>
          <w:tcPr>
            <w:tcW w:w="85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416"/>
              <w:spacing w:after="0"/>
              <w:rPr>
                <w:sz w:val="20"/>
                <w:szCs w:val="20"/>
                <w:color w:val="auto"/>
              </w:rPr>
            </w:pPr>
            <w:r>
              <w:rPr>
                <w:rFonts w:ascii="Arial" w:cs="Arial" w:eastAsia="Arial" w:hAnsi="Arial"/>
                <w:sz w:val="14"/>
                <w:szCs w:val="14"/>
                <w:b w:val="1"/>
                <w:bCs w:val="1"/>
                <w:color w:val="auto"/>
              </w:rPr>
              <w:t>2020</w:t>
            </w:r>
          </w:p>
        </w:tc>
      </w:tr>
      <w:tr>
        <w:trPr>
          <w:trHeight w:val="26"/>
        </w:trPr>
        <w:tc>
          <w:tcPr>
            <w:tcW w:w="8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information:</w:t>
            </w:r>
          </w:p>
        </w:tc>
        <w:tc>
          <w:tcPr>
            <w:tcW w:w="8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gridSpan w:val="2"/>
          </w:tcPr>
          <w:p>
            <w:pPr>
              <w:ind w:left="1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5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80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7,635</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6,676</w:t>
            </w:r>
          </w:p>
        </w:tc>
      </w:tr>
      <w:tr>
        <w:trPr>
          <w:trHeight w:val="243"/>
        </w:trPr>
        <w:tc>
          <w:tcPr>
            <w:tcW w:w="8560" w:type="dxa"/>
            <w:vAlign w:val="bottom"/>
            <w:gridSpan w:val="2"/>
          </w:tcPr>
          <w:p>
            <w:pPr>
              <w:ind w:left="140"/>
              <w:spacing w:after="0"/>
              <w:rPr>
                <w:sz w:val="20"/>
                <w:szCs w:val="20"/>
                <w:color w:val="auto"/>
              </w:rPr>
            </w:pPr>
            <w:r>
              <w:rPr>
                <w:rFonts w:ascii="Arial" w:cs="Arial" w:eastAsia="Arial" w:hAnsi="Arial"/>
                <w:sz w:val="18"/>
                <w:szCs w:val="18"/>
                <w:color w:val="auto"/>
              </w:rPr>
              <w:t>Right-of-use asset obtained in exchange for new operating lease obligations</w:t>
            </w:r>
          </w:p>
        </w:tc>
        <w:tc>
          <w:tcPr>
            <w:tcW w:w="800" w:type="dxa"/>
            <w:vAlign w:val="bottom"/>
          </w:tcPr>
          <w:p>
            <w:pPr>
              <w:jc w:val="right"/>
              <w:ind w:right="599"/>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5,687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5,592</w:t>
            </w:r>
          </w:p>
        </w:tc>
      </w:tr>
    </w:tbl>
    <w:p>
      <w:pPr>
        <w:spacing w:after="0" w:line="323"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The future undiscounted minimum lease payments, as reconciled to the discounted minimum lease obligation indicated on the Company’s consolidated balance sheets under operating leases, less imputed interest, as of September 30, 2021 were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ind w:right="173"/>
              <w:spacing w:after="0"/>
              <w:rPr>
                <w:sz w:val="20"/>
                <w:szCs w:val="20"/>
                <w:color w:val="auto"/>
              </w:rPr>
            </w:pPr>
            <w:r>
              <w:rPr>
                <w:rFonts w:ascii="Arial" w:cs="Arial" w:eastAsia="Arial" w:hAnsi="Arial"/>
                <w:sz w:val="14"/>
                <w:szCs w:val="14"/>
                <w:b w:val="1"/>
                <w:bCs w:val="1"/>
                <w:color w:val="auto"/>
                <w:w w:val="98"/>
              </w:rPr>
              <w:t>Operating Lease</w:t>
            </w:r>
          </w:p>
        </w:tc>
      </w:tr>
      <w:tr>
        <w:trPr>
          <w:trHeight w:val="186"/>
        </w:trPr>
        <w:tc>
          <w:tcPr>
            <w:tcW w:w="96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360" w:type="dxa"/>
            <w:vAlign w:val="bottom"/>
          </w:tcPr>
          <w:p>
            <w:pPr>
              <w:jc w:val="right"/>
              <w:ind w:right="333"/>
              <w:spacing w:after="0"/>
              <w:rPr>
                <w:sz w:val="20"/>
                <w:szCs w:val="20"/>
                <w:color w:val="auto"/>
              </w:rPr>
            </w:pPr>
            <w:r>
              <w:rPr>
                <w:rFonts w:ascii="Arial" w:cs="Arial" w:eastAsia="Arial" w:hAnsi="Arial"/>
                <w:sz w:val="14"/>
                <w:szCs w:val="14"/>
                <w:b w:val="1"/>
                <w:bCs w:val="1"/>
                <w:color w:val="auto"/>
              </w:rPr>
              <w:t>Obligations</w:t>
            </w:r>
          </w:p>
        </w:tc>
      </w:tr>
      <w:tr>
        <w:trPr>
          <w:trHeight w:val="25"/>
        </w:trPr>
        <w:tc>
          <w:tcPr>
            <w:tcW w:w="9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9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2,642</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9,430</w:t>
            </w:r>
          </w:p>
        </w:tc>
      </w:tr>
      <w:tr>
        <w:trPr>
          <w:trHeight w:val="27"/>
        </w:trPr>
        <w:tc>
          <w:tcPr>
            <w:tcW w:w="9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6,953</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3,847</w:t>
            </w:r>
          </w:p>
        </w:tc>
      </w:tr>
      <w:tr>
        <w:trPr>
          <w:trHeight w:val="27"/>
        </w:trPr>
        <w:tc>
          <w:tcPr>
            <w:tcW w:w="9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977</w:t>
            </w:r>
          </w:p>
        </w:tc>
      </w:tr>
      <w:tr>
        <w:trPr>
          <w:trHeight w:val="27"/>
        </w:trPr>
        <w:tc>
          <w:tcPr>
            <w:tcW w:w="9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9680" w:type="dxa"/>
            <w:vAlign w:val="bottom"/>
          </w:tcPr>
          <w:p>
            <w:pPr>
              <w:ind w:left="20"/>
              <w:spacing w:after="0"/>
              <w:rPr>
                <w:sz w:val="20"/>
                <w:szCs w:val="20"/>
                <w:color w:val="auto"/>
              </w:rPr>
            </w:pPr>
            <w:r>
              <w:rPr>
                <w:rFonts w:ascii="Arial" w:cs="Arial" w:eastAsia="Arial" w:hAnsi="Arial"/>
                <w:sz w:val="18"/>
                <w:szCs w:val="18"/>
                <w:color w:val="auto"/>
              </w:rPr>
              <w:t>Total minimum lease payments</w:t>
            </w: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25,544</w:t>
            </w:r>
          </w:p>
        </w:tc>
      </w:tr>
      <w:tr>
        <w:trPr>
          <w:trHeight w:val="27"/>
        </w:trPr>
        <w:tc>
          <w:tcPr>
            <w:tcW w:w="9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component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(4,078)</w:t>
            </w:r>
          </w:p>
        </w:tc>
      </w:tr>
      <w:tr>
        <w:trPr>
          <w:trHeight w:val="237"/>
        </w:trPr>
        <w:tc>
          <w:tcPr>
            <w:tcW w:w="9680" w:type="dxa"/>
            <w:vAlign w:val="bottom"/>
          </w:tcPr>
          <w:p>
            <w:pPr>
              <w:ind w:left="20"/>
              <w:spacing w:after="0"/>
              <w:rPr>
                <w:sz w:val="20"/>
                <w:szCs w:val="20"/>
                <w:color w:val="auto"/>
              </w:rPr>
            </w:pPr>
            <w:r>
              <w:rPr>
                <w:rFonts w:ascii="Arial" w:cs="Arial" w:eastAsia="Arial" w:hAnsi="Arial"/>
                <w:sz w:val="18"/>
                <w:szCs w:val="18"/>
                <w:color w:val="auto"/>
              </w:rPr>
              <w:t>Net present value of minimum lease payments</w:t>
            </w: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21,466</w:t>
            </w:r>
          </w:p>
        </w:tc>
      </w:tr>
      <w:tr>
        <w:trPr>
          <w:trHeight w:val="27"/>
        </w:trPr>
        <w:tc>
          <w:tcPr>
            <w:tcW w:w="9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 of finance and operating lease obligations</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(7,451)</w:t>
            </w:r>
          </w:p>
        </w:tc>
      </w:tr>
      <w:tr>
        <w:trPr>
          <w:trHeight w:val="263"/>
        </w:trPr>
        <w:tc>
          <w:tcPr>
            <w:tcW w:w="9680" w:type="dxa"/>
            <w:vAlign w:val="bottom"/>
          </w:tcPr>
          <w:p>
            <w:pPr>
              <w:ind w:left="20"/>
              <w:spacing w:after="0"/>
              <w:rPr>
                <w:sz w:val="20"/>
                <w:szCs w:val="20"/>
                <w:color w:val="auto"/>
              </w:rPr>
            </w:pPr>
            <w:r>
              <w:rPr>
                <w:rFonts w:ascii="Arial" w:cs="Arial" w:eastAsia="Arial" w:hAnsi="Arial"/>
                <w:sz w:val="18"/>
                <w:szCs w:val="18"/>
                <w:color w:val="auto"/>
              </w:rPr>
              <w:t>Long-term finance and operating lease obligations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14,015</w:t>
            </w:r>
          </w:p>
        </w:tc>
      </w:tr>
      <w:tr>
        <w:trPr>
          <w:trHeight w:val="20"/>
        </w:trPr>
        <w:tc>
          <w:tcPr>
            <w:tcW w:w="9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financing component for operating lease obligations represents the effect of discounting the lease payments to their present value. As of September 30, 2021, the Company had no outstanding finance lease obligations.</w:t>
      </w:r>
    </w:p>
    <w:p>
      <w:pPr>
        <w:spacing w:after="0" w:line="17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Certain subsidiaries of the Company have operating leases for facilities from third party companies that are owned, in whole or part, by employees of the subsidiaries. The terms and rental rates of these leases are at market rental rates. As of September 30, 2021, the minimum lease payments required under these leases totaled $2.5 million, which are due over the next 2.8 years.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The Company uses the three-tier hierarchy of fair value measurement, which prioritizes the inputs used in measuring fair value based upon their degree of availability in external active markets. These tiers include: Level 1 (the highest priority), defined as observable inputs, such as quoted prices in active markets; Level 2, defined as inputs other than quoted prices in active markets that are either directly or indirectly observable; and Level 3 (the lowest priority), defined as unobservable inputs in which little or no market data exists, therefore requiring an entity to develop its own assumptions.</w:t>
      </w:r>
    </w:p>
    <w:p>
      <w:pPr>
        <w:spacing w:after="0" w:line="157"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As of September 30, 2021 and December 31, 2020, the Company determined that the carrying value of cash and cash equivalents approximated fair value based on Level 1 inputs. As of September 30, 2021 and December 31, 2020, the fair values of the Company’s long-term debt and finance lease obligations were based on Level 2 inputs. The Company’s long-term debt was based on variable and fixed interest rates at September 30, 2021 and December 31, 2020, for new issues with similar remaining maturities, and approximated carrying value. In addition, based on borrowing rates currently available to the Company for borrowings with similar terms, the carrying values of the Company’s finance lease obligations also approximated fair value.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reflects the Company’s total debt, including borrowings under its credit agreement and master loan agreements for equipment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Stated Interest</w:t>
            </w: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Payment</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Term</w:t>
            </w:r>
          </w:p>
        </w:tc>
        <w:tc>
          <w:tcPr>
            <w:tcW w:w="18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4"/>
                <w:szCs w:val="14"/>
                <w:color w:val="auto"/>
              </w:rPr>
            </w:pPr>
          </w:p>
        </w:tc>
        <w:tc>
          <w:tcPr>
            <w:tcW w:w="1440" w:type="dxa"/>
            <w:vAlign w:val="bottom"/>
          </w:tcPr>
          <w:p>
            <w:pPr>
              <w:jc w:val="center"/>
              <w:ind w:right="75"/>
              <w:spacing w:after="0"/>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35"/>
        </w:trPr>
        <w:tc>
          <w:tcPr>
            <w:tcW w:w="2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(dollar amounts in thousands)</w:t>
            </w: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Inception Date</w:t>
            </w:r>
          </w:p>
        </w:tc>
        <w:tc>
          <w:tcPr>
            <w:tcW w:w="1540" w:type="dxa"/>
            <w:vAlign w:val="bottom"/>
            <w:gridSpan w:val="2"/>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Balance as of</w:t>
            </w:r>
          </w:p>
        </w:tc>
        <w:tc>
          <w:tcPr>
            <w:tcW w:w="160" w:type="dxa"/>
            <w:vAlign w:val="bottom"/>
          </w:tcPr>
          <w:p>
            <w:pPr>
              <w:spacing w:after="0"/>
              <w:rPr>
                <w:sz w:val="11"/>
                <w:szCs w:val="11"/>
                <w:color w:val="auto"/>
              </w:rPr>
            </w:pPr>
          </w:p>
        </w:tc>
        <w:tc>
          <w:tcPr>
            <w:tcW w:w="144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88"/>
        </w:trPr>
        <w:tc>
          <w:tcPr>
            <w:tcW w:w="2860" w:type="dxa"/>
            <w:vAlign w:val="bottom"/>
            <w:gridSpan w:val="3"/>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Rate (per annum)</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Frequency</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(years)</w:t>
            </w: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 2021</w:t>
            </w:r>
          </w:p>
        </w:tc>
        <w:tc>
          <w:tcPr>
            <w:tcW w:w="160" w:type="dxa"/>
            <w:vAlign w:val="bottom"/>
          </w:tcPr>
          <w:p>
            <w:pPr>
              <w:spacing w:after="0"/>
              <w:rPr>
                <w:sz w:val="16"/>
                <w:szCs w:val="16"/>
                <w:color w:val="auto"/>
              </w:rPr>
            </w:pPr>
          </w:p>
        </w:tc>
        <w:tc>
          <w:tcPr>
            <w:tcW w:w="144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51"/>
        </w:trPr>
        <w:tc>
          <w:tcPr>
            <w:tcW w:w="26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60" w:type="dxa"/>
            <w:vAlign w:val="bottom"/>
            <w:gridSpan w:val="3"/>
            <w:shd w:val="clear" w:color="auto" w:fill="CCEEFF"/>
          </w:tcPr>
          <w:p>
            <w:pPr>
              <w:ind w:left="20"/>
              <w:spacing w:after="0"/>
              <w:rPr>
                <w:sz w:val="20"/>
                <w:szCs w:val="20"/>
                <w:color w:val="auto"/>
              </w:rPr>
            </w:pPr>
            <w:r>
              <w:rPr>
                <w:rFonts w:ascii="Arial" w:cs="Arial" w:eastAsia="Arial" w:hAnsi="Arial"/>
                <w:sz w:val="18"/>
                <w:szCs w:val="18"/>
                <w:i w:val="1"/>
                <w:iCs w:val="1"/>
                <w:color w:val="auto"/>
              </w:rPr>
              <w:t>Credit Agreement</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gridSpan w:val="3"/>
          </w:tcPr>
          <w:p>
            <w:pPr>
              <w:ind w:left="140"/>
              <w:spacing w:after="0"/>
              <w:rPr>
                <w:sz w:val="20"/>
                <w:szCs w:val="20"/>
                <w:color w:val="auto"/>
              </w:rPr>
            </w:pPr>
            <w:r>
              <w:rPr>
                <w:rFonts w:ascii="Arial" w:cs="Arial" w:eastAsia="Arial" w:hAnsi="Arial"/>
                <w:sz w:val="18"/>
                <w:szCs w:val="18"/>
                <w:color w:val="auto"/>
              </w:rPr>
              <w:t>Revolving loans</w:t>
            </w:r>
          </w:p>
        </w:tc>
        <w:tc>
          <w:tcPr>
            <w:tcW w:w="1140" w:type="dxa"/>
            <w:vAlign w:val="bottom"/>
          </w:tcPr>
          <w:p>
            <w:pPr>
              <w:jc w:val="center"/>
              <w:ind w:right="53"/>
              <w:spacing w:after="0"/>
              <w:rPr>
                <w:sz w:val="20"/>
                <w:szCs w:val="20"/>
                <w:color w:val="auto"/>
              </w:rPr>
            </w:pPr>
            <w:r>
              <w:rPr>
                <w:rFonts w:ascii="Arial" w:cs="Arial" w:eastAsia="Arial" w:hAnsi="Arial"/>
                <w:sz w:val="18"/>
                <w:szCs w:val="18"/>
                <w:color w:val="auto"/>
                <w:w w:val="89"/>
              </w:rPr>
              <w:t>9/13/2019</w:t>
            </w:r>
          </w:p>
        </w:tc>
        <w:tc>
          <w:tcPr>
            <w:tcW w:w="120" w:type="dxa"/>
            <w:vAlign w:val="bottom"/>
          </w:tcPr>
          <w:p>
            <w:pPr>
              <w:spacing w:after="0"/>
              <w:rPr>
                <w:sz w:val="19"/>
                <w:szCs w:val="19"/>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Variable</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Variable</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860" w:type="dxa"/>
            <w:vAlign w:val="bottom"/>
            <w:gridSpan w:val="3"/>
          </w:tcPr>
          <w:p>
            <w:pPr>
              <w:ind w:left="20"/>
              <w:spacing w:after="0"/>
              <w:rPr>
                <w:sz w:val="20"/>
                <w:szCs w:val="20"/>
                <w:color w:val="auto"/>
              </w:rPr>
            </w:pPr>
            <w:r>
              <w:rPr>
                <w:rFonts w:ascii="Arial" w:cs="Arial" w:eastAsia="Arial" w:hAnsi="Arial"/>
                <w:sz w:val="18"/>
                <w:szCs w:val="18"/>
                <w:i w:val="1"/>
                <w:iCs w:val="1"/>
                <w:color w:val="auto"/>
              </w:rPr>
              <w:t>Equipment Notes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Equipment Note 6</w:t>
            </w:r>
          </w:p>
        </w:tc>
        <w:tc>
          <w:tcPr>
            <w:tcW w:w="1140" w:type="dxa"/>
            <w:vAlign w:val="bottom"/>
            <w:shd w:val="clear" w:color="auto" w:fill="CCEEFF"/>
          </w:tcPr>
          <w:p>
            <w:pPr>
              <w:jc w:val="center"/>
              <w:ind w:right="53"/>
              <w:spacing w:after="0"/>
              <w:rPr>
                <w:sz w:val="20"/>
                <w:szCs w:val="20"/>
                <w:color w:val="auto"/>
              </w:rPr>
            </w:pPr>
            <w:r>
              <w:rPr>
                <w:rFonts w:ascii="Arial" w:cs="Arial" w:eastAsia="Arial" w:hAnsi="Arial"/>
                <w:sz w:val="18"/>
                <w:szCs w:val="18"/>
                <w:color w:val="auto"/>
                <w:w w:val="89"/>
              </w:rPr>
              <w:t>6/25/2019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2.89%</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Semi-annual</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12,896</w:t>
            </w:r>
          </w:p>
        </w:tc>
        <w:tc>
          <w:tcPr>
            <w:tcW w:w="0" w:type="dxa"/>
            <w:vAlign w:val="bottom"/>
          </w:tcPr>
          <w:p>
            <w:pPr>
              <w:spacing w:after="0"/>
              <w:rPr>
                <w:sz w:val="1"/>
                <w:szCs w:val="1"/>
                <w:color w:val="auto"/>
              </w:rPr>
            </w:pPr>
          </w:p>
        </w:tc>
      </w:tr>
      <w:tr>
        <w:trPr>
          <w:trHeight w:val="229"/>
        </w:trPr>
        <w:tc>
          <w:tcPr>
            <w:tcW w:w="2860" w:type="dxa"/>
            <w:vAlign w:val="bottom"/>
            <w:gridSpan w:val="3"/>
          </w:tcPr>
          <w:p>
            <w:pPr>
              <w:ind w:left="140"/>
              <w:spacing w:after="0"/>
              <w:rPr>
                <w:sz w:val="20"/>
                <w:szCs w:val="20"/>
                <w:color w:val="auto"/>
              </w:rPr>
            </w:pPr>
            <w:r>
              <w:rPr>
                <w:rFonts w:ascii="Arial" w:cs="Arial" w:eastAsia="Arial" w:hAnsi="Arial"/>
                <w:sz w:val="18"/>
                <w:szCs w:val="18"/>
                <w:color w:val="auto"/>
              </w:rPr>
              <w:t>Equipment Note 7</w:t>
            </w:r>
          </w:p>
        </w:tc>
        <w:tc>
          <w:tcPr>
            <w:tcW w:w="1140" w:type="dxa"/>
            <w:vAlign w:val="bottom"/>
          </w:tcPr>
          <w:p>
            <w:pPr>
              <w:jc w:val="center"/>
              <w:ind w:right="53"/>
              <w:spacing w:after="0"/>
              <w:rPr>
                <w:sz w:val="20"/>
                <w:szCs w:val="20"/>
                <w:color w:val="auto"/>
              </w:rPr>
            </w:pPr>
            <w:r>
              <w:rPr>
                <w:rFonts w:ascii="Arial" w:cs="Arial" w:eastAsia="Arial" w:hAnsi="Arial"/>
                <w:sz w:val="18"/>
                <w:szCs w:val="18"/>
                <w:color w:val="auto"/>
                <w:w w:val="89"/>
              </w:rPr>
              <w:t>6/24/2019</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3.09%</w:t>
            </w:r>
          </w:p>
        </w:tc>
        <w:tc>
          <w:tcPr>
            <w:tcW w:w="120" w:type="dxa"/>
            <w:vAlign w:val="bottom"/>
          </w:tcPr>
          <w:p>
            <w:pPr>
              <w:spacing w:after="0"/>
              <w:rPr>
                <w:sz w:val="19"/>
                <w:szCs w:val="19"/>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Semi-annual</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6,980</w:t>
            </w:r>
          </w:p>
        </w:tc>
        <w:tc>
          <w:tcPr>
            <w:tcW w:w="0" w:type="dxa"/>
            <w:vAlign w:val="bottom"/>
          </w:tcPr>
          <w:p>
            <w:pPr>
              <w:spacing w:after="0"/>
              <w:rPr>
                <w:sz w:val="1"/>
                <w:szCs w:val="1"/>
                <w:color w:val="auto"/>
              </w:rPr>
            </w:pPr>
          </w:p>
        </w:tc>
      </w:tr>
      <w:tr>
        <w:trPr>
          <w:trHeight w:val="230"/>
        </w:trPr>
        <w:tc>
          <w:tcPr>
            <w:tcW w:w="28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Equipment Note 8</w:t>
            </w:r>
          </w:p>
        </w:tc>
        <w:tc>
          <w:tcPr>
            <w:tcW w:w="1140" w:type="dxa"/>
            <w:vAlign w:val="bottom"/>
            <w:shd w:val="clear" w:color="auto" w:fill="CCEEFF"/>
          </w:tcPr>
          <w:p>
            <w:pPr>
              <w:jc w:val="center"/>
              <w:ind w:right="33"/>
              <w:spacing w:after="0"/>
              <w:rPr>
                <w:sz w:val="20"/>
                <w:szCs w:val="20"/>
                <w:color w:val="auto"/>
              </w:rPr>
            </w:pPr>
            <w:r>
              <w:rPr>
                <w:rFonts w:ascii="Arial" w:cs="Arial" w:eastAsia="Arial" w:hAnsi="Arial"/>
                <w:sz w:val="18"/>
                <w:szCs w:val="18"/>
                <w:color w:val="auto"/>
                <w:w w:val="90"/>
              </w:rPr>
              <w:t>12/27/2019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2.75%</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Semi-annual</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w:t>
            </w:r>
          </w:p>
        </w:tc>
        <w:tc>
          <w:tcPr>
            <w:tcW w:w="0" w:type="dxa"/>
            <w:vAlign w:val="bottom"/>
          </w:tcPr>
          <w:p>
            <w:pPr>
              <w:spacing w:after="0"/>
              <w:rPr>
                <w:sz w:val="1"/>
                <w:szCs w:val="1"/>
                <w:color w:val="auto"/>
              </w:rPr>
            </w:pPr>
          </w:p>
        </w:tc>
      </w:tr>
      <w:tr>
        <w:trPr>
          <w:trHeight w:val="230"/>
        </w:trPr>
        <w:tc>
          <w:tcPr>
            <w:tcW w:w="2860" w:type="dxa"/>
            <w:vAlign w:val="bottom"/>
            <w:gridSpan w:val="3"/>
          </w:tcPr>
          <w:p>
            <w:pPr>
              <w:ind w:left="140"/>
              <w:spacing w:after="0"/>
              <w:rPr>
                <w:sz w:val="20"/>
                <w:szCs w:val="20"/>
                <w:color w:val="auto"/>
              </w:rPr>
            </w:pPr>
            <w:r>
              <w:rPr>
                <w:rFonts w:ascii="Arial" w:cs="Arial" w:eastAsia="Arial" w:hAnsi="Arial"/>
                <w:sz w:val="18"/>
                <w:szCs w:val="18"/>
                <w:color w:val="auto"/>
              </w:rPr>
              <w:t>Equipment Note 9</w:t>
            </w:r>
          </w:p>
        </w:tc>
        <w:tc>
          <w:tcPr>
            <w:tcW w:w="1140" w:type="dxa"/>
            <w:vAlign w:val="bottom"/>
          </w:tcPr>
          <w:p>
            <w:pPr>
              <w:jc w:val="center"/>
              <w:ind w:right="33"/>
              <w:spacing w:after="0"/>
              <w:rPr>
                <w:sz w:val="20"/>
                <w:szCs w:val="20"/>
                <w:color w:val="auto"/>
              </w:rPr>
            </w:pPr>
            <w:r>
              <w:rPr>
                <w:rFonts w:ascii="Arial" w:cs="Arial" w:eastAsia="Arial" w:hAnsi="Arial"/>
                <w:sz w:val="18"/>
                <w:szCs w:val="18"/>
                <w:color w:val="auto"/>
                <w:w w:val="90"/>
              </w:rPr>
              <w:t>12/24/2019</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3.01%</w:t>
            </w:r>
          </w:p>
        </w:tc>
        <w:tc>
          <w:tcPr>
            <w:tcW w:w="120" w:type="dxa"/>
            <w:vAlign w:val="bottom"/>
          </w:tcPr>
          <w:p>
            <w:pPr>
              <w:spacing w:after="0"/>
              <w:rPr>
                <w:sz w:val="19"/>
                <w:szCs w:val="19"/>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Semi-annual</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4,031</w:t>
            </w:r>
          </w:p>
        </w:tc>
        <w:tc>
          <w:tcPr>
            <w:tcW w:w="0" w:type="dxa"/>
            <w:vAlign w:val="bottom"/>
          </w:tcPr>
          <w:p>
            <w:pPr>
              <w:spacing w:after="0"/>
              <w:rPr>
                <w:sz w:val="1"/>
                <w:szCs w:val="1"/>
                <w:color w:val="auto"/>
              </w:rPr>
            </w:pPr>
          </w:p>
        </w:tc>
      </w:tr>
      <w:tr>
        <w:trPr>
          <w:trHeight w:val="223"/>
        </w:trPr>
        <w:tc>
          <w:tcPr>
            <w:tcW w:w="26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29,420</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Total debt</w:t>
            </w: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29,420</w:t>
            </w:r>
          </w:p>
        </w:tc>
        <w:tc>
          <w:tcPr>
            <w:tcW w:w="0" w:type="dxa"/>
            <w:vAlign w:val="bottom"/>
          </w:tcPr>
          <w:p>
            <w:pPr>
              <w:spacing w:after="0"/>
              <w:rPr>
                <w:sz w:val="1"/>
                <w:szCs w:val="1"/>
                <w:color w:val="auto"/>
              </w:rPr>
            </w:pPr>
          </w:p>
        </w:tc>
      </w:tr>
      <w:tr>
        <w:trPr>
          <w:trHeight w:val="223"/>
        </w:trPr>
        <w:tc>
          <w:tcPr>
            <w:tcW w:w="28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2"/>
              </w:rPr>
              <w:t>Less: current portion of long-term debt</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0" w:type="dxa"/>
            <w:vAlign w:val="bottom"/>
          </w:tcPr>
          <w:p>
            <w:pPr>
              <w:spacing w:after="0"/>
              <w:rPr>
                <w:sz w:val="1"/>
                <w:szCs w:val="1"/>
                <w:color w:val="auto"/>
              </w:rPr>
            </w:pPr>
          </w:p>
        </w:tc>
      </w:tr>
      <w:tr>
        <w:trPr>
          <w:trHeight w:val="223"/>
        </w:trPr>
        <w:tc>
          <w:tcPr>
            <w:tcW w:w="2860" w:type="dxa"/>
            <w:vAlign w:val="bottom"/>
            <w:gridSpan w:val="3"/>
          </w:tcPr>
          <w:p>
            <w:pPr>
              <w:ind w:left="20"/>
              <w:spacing w:after="0"/>
              <w:rPr>
                <w:sz w:val="20"/>
                <w:szCs w:val="20"/>
                <w:color w:val="auto"/>
              </w:rPr>
            </w:pPr>
            <w:r>
              <w:rPr>
                <w:rFonts w:ascii="Arial" w:cs="Arial" w:eastAsia="Arial" w:hAnsi="Arial"/>
                <w:sz w:val="18"/>
                <w:szCs w:val="18"/>
                <w:color w:val="auto"/>
              </w:rPr>
              <w:t>Long-term debt</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25,039</w:t>
            </w: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On September 13, 2019, the Company entered into a five-year amended and restated credit agreement (the “Credit Agreement”) with a syndicate of banks led by JPMorgan Chase Bank, N.A. and Bank of America, N.A, that provides for a $375 million facility (the “Facility”), subject to certain financial covenants as defined in the Credit Agreement, that may be used for revolving loans of which $150 million may be used for letters of credit. The Facility also allows for revolving loans and letters of credit in Canadian dollars and other currencies, up to the U.S. dollar equivalent of $75 million. The Company has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for refinancing existing indebtedness, working capital, capital expenditures, acquisitions, share repurchases, and other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Amounts borrowed under the Credit Agreement bear interest, at the Company’s option, at a rate equal to either (1) the Alternate Base Rate (as defined in the Credit Agreement), plus an applicable margin ranging from 0.00% to 0.75%; or (2) Adjusted LIBO Rate (as defined in the Credit Agreement) plus an applicable margin ranging from 1.00% to 1.75%. The applicable margin is determined based on the Company’s consolidated leverage ratio (the “Leverage Ratio”) which is defined in the Credit Agreement as Consolidated Total Indebtedness (as defined in the Credit Agreement) divided by Consolidated EBITDA (as defined in the Credit Agreement). Letters of credit issued under the Facility are subject to a letter of credit fee of 1.00% to</w:t>
      </w:r>
    </w:p>
    <w:p>
      <w:pPr>
        <w:spacing w:after="0" w:line="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1.75% for non-performance letters of credit or 0.50% to 0.875% for performance letters of credit, based on the Company’s consolidated Leverage Ratio. The Company is subject to a commitment fee of 0.15% to 0.25%, based on the Company’s consolidated Leverage Ratio, on any unused portion of the Facility. The Credit Agreement restricts certain types of payments when the Company’s consolidated Leverage Ratio exceeds 2.50 or the Company's consolidated Liquidity (as defined in the Credit Agreement) is less than $50 million.</w:t>
      </w:r>
    </w:p>
    <w:p>
      <w:pPr>
        <w:spacing w:after="0" w:line="19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Under the Credit Agreement, the Company is subject to certain financial covenants and is limited to a maximum consolidated Leverage Ratio of 3.0 and a minimum interest coverage ratio of 3.0, which is defined in the Credit Agreement as Consolidated EBITDA (as defined in the Credit Agreement) divided by interest expense (as defined in the Credit Agreement). The Credit Agreement also contains covenants including limitations on asset sales, investments, indebtedness and liens. The Company was in compliance with all of its financial covenants under the Credit Agreement as of September 30, 2021.</w:t>
      </w:r>
    </w:p>
    <w:p>
      <w:pPr>
        <w:spacing w:after="0" w:line="188"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As of September 30, 2021, the Company had no debt outstanding under the Facility and letters of credit outstanding under the Facility of approximately $12.3 million, which are almost entirely related to the Company's payment obligation under its insurance programs.</w:t>
      </w:r>
    </w:p>
    <w:p>
      <w:pPr>
        <w:spacing w:after="0" w:line="146"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As of December 31, 2020, the Company had no debt outstanding under the Facility and letters of credit outstanding under the Facility of approximately $10.4 million, including $9.8 million related to the Company's payment obligation under its insurance programs and approximately $0.6 million related to contract performance obligations.</w:t>
      </w:r>
    </w:p>
    <w:p>
      <w:pPr>
        <w:spacing w:after="0" w:line="18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Company had remaining deferred debt issuance costs totaling $0.9 million as of September 30, 2021, related to the line of credit. As permitted, debt issuance costs have been deferred and are presented as an asset within other assets, which is amortized as interest expense over the term of the line of credit.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Notes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Company has entered into Master Equipment Loan and Security Agreements (the “Master Loan Agreements”) with multiple banks. The Master Loan Agreements may be used for the financing of equipment between the Company and the lending banks pursuant to one or more equipment notes ("Equipment Note"). Each Equipment Note executed under the Master Loan Agreements constitutes a separate, distinct and independent financing of equipment and a contractual obligation of the Company, which may contain prepayment clauses.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620" w:firstLine="648"/>
        <w:spacing w:after="0" w:line="263" w:lineRule="auto"/>
        <w:rPr>
          <w:sz w:val="20"/>
          <w:szCs w:val="20"/>
          <w:color w:val="auto"/>
        </w:rPr>
      </w:pPr>
      <w:r>
        <w:rPr>
          <w:rFonts w:ascii="Arial" w:cs="Arial" w:eastAsia="Arial" w:hAnsi="Arial"/>
          <w:sz w:val="18"/>
          <w:szCs w:val="18"/>
          <w:color w:val="auto"/>
        </w:rPr>
        <w:t>As of September 30, 2021, the Company had one Equipment Note outstanding under the Master Loan Agreements that is collateralized by equipment and vehicles owned by the Company. The following table sets forth our remaining principal payments for the Company’s outstanding Equipment Note as of September 30, 2021: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center"/>
              <w:ind w:right="74"/>
              <w:spacing w:after="0"/>
              <w:rPr>
                <w:sz w:val="20"/>
                <w:szCs w:val="20"/>
                <w:color w:val="auto"/>
              </w:rPr>
            </w:pPr>
            <w:r>
              <w:rPr>
                <w:rFonts w:ascii="Arial" w:cs="Arial" w:eastAsia="Arial" w:hAnsi="Arial"/>
                <w:sz w:val="14"/>
                <w:szCs w:val="14"/>
                <w:b w:val="1"/>
                <w:bCs w:val="1"/>
                <w:color w:val="auto"/>
                <w:w w:val="96"/>
              </w:rPr>
              <w:t>Future</w:t>
            </w:r>
          </w:p>
        </w:tc>
      </w:tr>
      <w:tr>
        <w:trPr>
          <w:trHeight w:val="162"/>
        </w:trPr>
        <w:tc>
          <w:tcPr>
            <w:tcW w:w="9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center"/>
              <w:ind w:right="74"/>
              <w:spacing w:after="0"/>
              <w:rPr>
                <w:sz w:val="20"/>
                <w:szCs w:val="20"/>
                <w:color w:val="auto"/>
              </w:rPr>
            </w:pPr>
            <w:r>
              <w:rPr>
                <w:rFonts w:ascii="Arial" w:cs="Arial" w:eastAsia="Arial" w:hAnsi="Arial"/>
                <w:sz w:val="14"/>
                <w:szCs w:val="14"/>
                <w:b w:val="1"/>
                <w:bCs w:val="1"/>
                <w:color w:val="auto"/>
                <w:w w:val="92"/>
              </w:rPr>
              <w:t>Equipment Notes</w:t>
            </w:r>
          </w:p>
        </w:tc>
      </w:tr>
      <w:tr>
        <w:trPr>
          <w:trHeight w:val="186"/>
        </w:trPr>
        <w:tc>
          <w:tcPr>
            <w:tcW w:w="96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460" w:type="dxa"/>
            <w:vAlign w:val="bottom"/>
          </w:tcPr>
          <w:p>
            <w:pPr>
              <w:jc w:val="center"/>
              <w:ind w:right="74"/>
              <w:spacing w:after="0"/>
              <w:rPr>
                <w:sz w:val="20"/>
                <w:szCs w:val="20"/>
                <w:color w:val="auto"/>
              </w:rPr>
            </w:pPr>
            <w:r>
              <w:rPr>
                <w:rFonts w:ascii="Arial" w:cs="Arial" w:eastAsia="Arial" w:hAnsi="Arial"/>
                <w:sz w:val="14"/>
                <w:szCs w:val="14"/>
                <w:b w:val="1"/>
                <w:bCs w:val="1"/>
                <w:color w:val="auto"/>
                <w:w w:val="94"/>
              </w:rPr>
              <w:t>Principal Payments</w:t>
            </w:r>
          </w:p>
        </w:tc>
      </w:tr>
      <w:tr>
        <w:trPr>
          <w:trHeight w:val="26"/>
        </w:trPr>
        <w:tc>
          <w:tcPr>
            <w:tcW w:w="9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9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50"/>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w:t>
            </w:r>
          </w:p>
        </w:tc>
      </w:tr>
      <w:tr>
        <w:trPr>
          <w:trHeight w:val="243"/>
        </w:trPr>
        <w:tc>
          <w:tcPr>
            <w:tcW w:w="952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1,039</w:t>
            </w:r>
          </w:p>
        </w:tc>
      </w:tr>
      <w:tr>
        <w:trPr>
          <w:trHeight w:val="27"/>
        </w:trPr>
        <w:tc>
          <w:tcPr>
            <w:tcW w:w="9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r>
      <w:tr>
        <w:trPr>
          <w:trHeight w:val="243"/>
        </w:trPr>
        <w:tc>
          <w:tcPr>
            <w:tcW w:w="952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2,396</w:t>
            </w:r>
          </w:p>
        </w:tc>
      </w:tr>
      <w:tr>
        <w:trPr>
          <w:trHeight w:val="27"/>
        </w:trPr>
        <w:tc>
          <w:tcPr>
            <w:tcW w:w="9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9520" w:type="dxa"/>
            <w:vAlign w:val="bottom"/>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9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9620" w:type="dxa"/>
            <w:vAlign w:val="bottom"/>
            <w:gridSpan w:val="2"/>
          </w:tcPr>
          <w:p>
            <w:pPr>
              <w:ind w:left="20"/>
              <w:spacing w:after="0"/>
              <w:rPr>
                <w:sz w:val="20"/>
                <w:szCs w:val="20"/>
                <w:color w:val="auto"/>
              </w:rPr>
            </w:pPr>
            <w:r>
              <w:rPr>
                <w:rFonts w:ascii="Arial" w:cs="Arial" w:eastAsia="Arial" w:hAnsi="Arial"/>
                <w:sz w:val="18"/>
                <w:szCs w:val="18"/>
                <w:color w:val="auto"/>
              </w:rPr>
              <w:t>Total future principal payments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5,011</w:t>
            </w:r>
          </w:p>
        </w:tc>
      </w:tr>
      <w:tr>
        <w:trPr>
          <w:trHeight w:val="27"/>
        </w:trPr>
        <w:tc>
          <w:tcPr>
            <w:tcW w:w="9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3"/>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current portion of equipment notes</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r>
      <w:tr>
        <w:trPr>
          <w:trHeight w:val="263"/>
        </w:trPr>
        <w:tc>
          <w:tcPr>
            <w:tcW w:w="9620" w:type="dxa"/>
            <w:vAlign w:val="bottom"/>
            <w:gridSpan w:val="2"/>
          </w:tcPr>
          <w:p>
            <w:pPr>
              <w:ind w:left="20"/>
              <w:spacing w:after="0"/>
              <w:rPr>
                <w:sz w:val="20"/>
                <w:szCs w:val="20"/>
                <w:color w:val="auto"/>
              </w:rPr>
            </w:pPr>
            <w:r>
              <w:rPr>
                <w:rFonts w:ascii="Arial" w:cs="Arial" w:eastAsia="Arial" w:hAnsi="Arial"/>
                <w:sz w:val="18"/>
                <w:szCs w:val="18"/>
                <w:color w:val="auto"/>
              </w:rPr>
              <w:t>Long-term principal obligations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3,986</w:t>
            </w:r>
          </w:p>
        </w:tc>
      </w:tr>
      <w:tr>
        <w:trPr>
          <w:trHeight w:val="21"/>
        </w:trPr>
        <w:tc>
          <w:tcPr>
            <w:tcW w:w="9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A majority of the Company’s revenues are earned through contracts with customers that normally provide for payment upon completion of specified work or units of work as identified in the contract. Although there is considerable variation in the terms of these contracts, they are primarily structured as fixed-price contracts, under which the Company agrees to perform a defined scope of a project for a fixed amount, or unit-price contracts, under which the Company agrees to do the work at a fixed price per unit of work as specified in the contract. The Company also enters into time-and-equipment and time-and-materials contracts under which the Company is paid for labor and equipment at negotiated hourly billing rates and for other expenses, including materials, as incurred at rates agreed to in the contract. Finally, the Company sometimes enters into cost-plus contracts, where the Company is paid for costs plus a negotiated margin. On occasion, time-and-equipment, time-and-materials and cost-plus contracts require the Company to include a guaranteed not-to-exceed maximum price.</w:t>
      </w:r>
    </w:p>
    <w:p>
      <w:pPr>
        <w:spacing w:after="0" w:line="178"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Historically, fixed-price and unit-price contracts have had the highest potential margins; however, they have had a greater risk in terms of profitability because cost overruns may not be recoverable. Time-and-equipment, time-and-materials and cost-plus contracts have historically had less margin upside, but generally have had a lower risk of cost overruns. The Company also provides services under master service agreements (“MSAs”) and other variable-term service agreements. MSAs normally cover maintenance, upgrade and extension services, as well as new construction. Work performed under MSAs is typically billed on a unit-price, time-and-materials or time-and-equipment basis. MSAs are typically one to three years in duration; however, most of the Company’s contracts, including MSAs, may be terminated by the customer on short notice, typically 30 to 90 days, even if the Company is not in default under the contract. Under MSAs, customers generally agree to use the Company for certain services in a specified geographic region. Most MSAs include no obligation for the contract counterparty to assign specific volumes of work to the Company and do not require the counterparty to use the Company exclusively, although in some cases the MSA contract gives the Company a right of first refusal for certain work. Additional information related to the Company’s market types is provided in Note 10–Segment Information.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components of the Company’s revenue by contract type for the three and nine months ended September 30, 2021 and 2020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1"/>
              </w:rPr>
              <w:t>Three months ended September 30, 2021</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ind w:left="900"/>
              <w:spacing w:after="0"/>
              <w:rPr>
                <w:sz w:val="20"/>
                <w:szCs w:val="20"/>
                <w:color w:val="auto"/>
              </w:rPr>
            </w:pPr>
            <w:r>
              <w:rPr>
                <w:rFonts w:ascii="Arial" w:cs="Arial" w:eastAsia="Arial" w:hAnsi="Arial"/>
                <w:sz w:val="14"/>
                <w:szCs w:val="14"/>
                <w:b w:val="1"/>
                <w:bCs w:val="1"/>
                <w:color w:val="auto"/>
              </w:rPr>
              <w:t>T&amp;D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4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auto"/>
              </w:rPr>
              <w:t>C&amp;I</w:t>
            </w:r>
          </w:p>
        </w:tc>
        <w:tc>
          <w:tcPr>
            <w:tcW w:w="240" w:type="dxa"/>
            <w:vAlign w:val="bottom"/>
          </w:tcPr>
          <w:p>
            <w:pPr>
              <w:spacing w:after="0"/>
              <w:rPr>
                <w:sz w:val="16"/>
                <w:szCs w:val="16"/>
                <w:color w:val="auto"/>
              </w:rPr>
            </w:pPr>
          </w:p>
        </w:tc>
        <w:tc>
          <w:tcPr>
            <w:tcW w:w="1380" w:type="dxa"/>
            <w:vAlign w:val="bottom"/>
            <w:gridSpan w:val="3"/>
          </w:tcPr>
          <w:p>
            <w:pPr>
              <w:ind w:left="920"/>
              <w:spacing w:after="0"/>
              <w:rPr>
                <w:sz w:val="20"/>
                <w:szCs w:val="20"/>
                <w:color w:val="auto"/>
              </w:rPr>
            </w:pPr>
            <w:r>
              <w:rPr>
                <w:rFonts w:ascii="Arial" w:cs="Arial" w:eastAsia="Arial" w:hAnsi="Arial"/>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6"/>
                <w:szCs w:val="16"/>
                <w:color w:val="auto"/>
              </w:rPr>
            </w:pPr>
          </w:p>
        </w:tc>
        <w:tc>
          <w:tcPr>
            <w:tcW w:w="940" w:type="dxa"/>
            <w:vAlign w:val="bottom"/>
          </w:tcPr>
          <w:p>
            <w:pPr>
              <w:jc w:val="right"/>
              <w:ind w:right="214"/>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400"/>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6"/>
                <w:szCs w:val="16"/>
                <w:color w:val="auto"/>
              </w:rPr>
            </w:pPr>
          </w:p>
        </w:tc>
        <w:tc>
          <w:tcPr>
            <w:tcW w:w="138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ind w:right="3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6"/>
        </w:trPr>
        <w:tc>
          <w:tcPr>
            <w:tcW w:w="3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Fixed price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246,803</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81.3 %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368,988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60.5 %</w:t>
            </w:r>
          </w:p>
        </w:tc>
        <w:tc>
          <w:tcPr>
            <w:tcW w:w="0" w:type="dxa"/>
            <w:vAlign w:val="bottom"/>
          </w:tcPr>
          <w:p>
            <w:pPr>
              <w:spacing w:after="0"/>
              <w:rPr>
                <w:sz w:val="1"/>
                <w:szCs w:val="1"/>
                <w:color w:val="auto"/>
              </w:rPr>
            </w:pPr>
          </w:p>
        </w:tc>
      </w:tr>
      <w:tr>
        <w:trPr>
          <w:trHeight w:val="243"/>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Unit price</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83,200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21,567</w:t>
            </w:r>
          </w:p>
        </w:tc>
        <w:tc>
          <w:tcPr>
            <w:tcW w:w="1440" w:type="dxa"/>
            <w:vAlign w:val="bottom"/>
            <w:gridSpan w:val="3"/>
          </w:tcPr>
          <w:p>
            <w:pPr>
              <w:jc w:val="right"/>
              <w:ind w:right="139"/>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104,767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T&amp;E</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101,161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35,266</w:t>
            </w:r>
          </w:p>
        </w:tc>
        <w:tc>
          <w:tcPr>
            <w:tcW w:w="144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136,427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306,546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303,636</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610,182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5"/>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1"/>
              </w:rPr>
              <w:t>Three months ended September 30, 2020</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ind w:left="900"/>
              <w:spacing w:after="0"/>
              <w:rPr>
                <w:sz w:val="20"/>
                <w:szCs w:val="20"/>
                <w:color w:val="auto"/>
              </w:rPr>
            </w:pPr>
            <w:r>
              <w:rPr>
                <w:rFonts w:ascii="Arial" w:cs="Arial" w:eastAsia="Arial" w:hAnsi="Arial"/>
                <w:sz w:val="14"/>
                <w:szCs w:val="14"/>
                <w:b w:val="1"/>
                <w:bCs w:val="1"/>
                <w:color w:val="auto"/>
              </w:rPr>
              <w:t>T&amp;D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4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auto"/>
              </w:rPr>
              <w:t>C&amp;I</w:t>
            </w:r>
          </w:p>
        </w:tc>
        <w:tc>
          <w:tcPr>
            <w:tcW w:w="240" w:type="dxa"/>
            <w:vAlign w:val="bottom"/>
          </w:tcPr>
          <w:p>
            <w:pPr>
              <w:spacing w:after="0"/>
              <w:rPr>
                <w:sz w:val="16"/>
                <w:szCs w:val="16"/>
                <w:color w:val="auto"/>
              </w:rPr>
            </w:pPr>
          </w:p>
        </w:tc>
        <w:tc>
          <w:tcPr>
            <w:tcW w:w="1380" w:type="dxa"/>
            <w:vAlign w:val="bottom"/>
            <w:gridSpan w:val="3"/>
          </w:tcPr>
          <w:p>
            <w:pPr>
              <w:ind w:left="920"/>
              <w:spacing w:after="0"/>
              <w:rPr>
                <w:sz w:val="20"/>
                <w:szCs w:val="20"/>
                <w:color w:val="auto"/>
              </w:rPr>
            </w:pPr>
            <w:r>
              <w:rPr>
                <w:rFonts w:ascii="Arial" w:cs="Arial" w:eastAsia="Arial" w:hAnsi="Arial"/>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6"/>
                <w:szCs w:val="16"/>
                <w:color w:val="auto"/>
              </w:rPr>
            </w:pPr>
          </w:p>
        </w:tc>
        <w:tc>
          <w:tcPr>
            <w:tcW w:w="940" w:type="dxa"/>
            <w:vAlign w:val="bottom"/>
          </w:tcPr>
          <w:p>
            <w:pPr>
              <w:jc w:val="right"/>
              <w:ind w:right="214"/>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400"/>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6"/>
                <w:szCs w:val="16"/>
                <w:color w:val="auto"/>
              </w:rPr>
            </w:pPr>
          </w:p>
        </w:tc>
        <w:tc>
          <w:tcPr>
            <w:tcW w:w="138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ind w:right="3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6"/>
        </w:trPr>
        <w:tc>
          <w:tcPr>
            <w:tcW w:w="3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Fixed price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126,588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248,577</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80.7 %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375,165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61.7 %</w:t>
            </w:r>
          </w:p>
        </w:tc>
        <w:tc>
          <w:tcPr>
            <w:tcW w:w="0" w:type="dxa"/>
            <w:vAlign w:val="bottom"/>
          </w:tcPr>
          <w:p>
            <w:pPr>
              <w:spacing w:after="0"/>
              <w:rPr>
                <w:sz w:val="1"/>
                <w:szCs w:val="1"/>
                <w:color w:val="auto"/>
              </w:rPr>
            </w:pPr>
          </w:p>
        </w:tc>
      </w:tr>
      <w:tr>
        <w:trPr>
          <w:trHeight w:val="243"/>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Unit price</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88,708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22,587</w:t>
            </w:r>
          </w:p>
        </w:tc>
        <w:tc>
          <w:tcPr>
            <w:tcW w:w="1440" w:type="dxa"/>
            <w:vAlign w:val="bottom"/>
            <w:gridSpan w:val="3"/>
          </w:tcPr>
          <w:p>
            <w:pPr>
              <w:jc w:val="right"/>
              <w:ind w:right="139"/>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111,295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31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T&amp;E</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84,443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36,998</w:t>
            </w:r>
          </w:p>
        </w:tc>
        <w:tc>
          <w:tcPr>
            <w:tcW w:w="144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121,441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299,739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308,162</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607,901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components of the Company’s revenue by contract type for the nine months ended September 30, 2021 and 2020 were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Nine months ended September 30, 2021</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ind w:left="920"/>
              <w:spacing w:after="0"/>
              <w:rPr>
                <w:sz w:val="20"/>
                <w:szCs w:val="20"/>
                <w:color w:val="auto"/>
              </w:rPr>
            </w:pPr>
            <w:r>
              <w:rPr>
                <w:rFonts w:ascii="Arial" w:cs="Arial" w:eastAsia="Arial" w:hAnsi="Arial"/>
                <w:sz w:val="14"/>
                <w:szCs w:val="14"/>
                <w:b w:val="1"/>
                <w:bCs w:val="1"/>
                <w:color w:val="auto"/>
              </w:rPr>
              <w:t>T&amp;D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40" w:type="dxa"/>
            <w:vAlign w:val="bottom"/>
            <w:gridSpan w:val="4"/>
          </w:tcPr>
          <w:p>
            <w:pPr>
              <w:jc w:val="center"/>
              <w:ind w:right="1260"/>
              <w:spacing w:after="0"/>
              <w:rPr>
                <w:sz w:val="20"/>
                <w:szCs w:val="20"/>
                <w:color w:val="auto"/>
              </w:rPr>
            </w:pPr>
            <w:r>
              <w:rPr>
                <w:rFonts w:ascii="Arial" w:cs="Arial" w:eastAsia="Arial" w:hAnsi="Arial"/>
                <w:sz w:val="14"/>
                <w:szCs w:val="14"/>
                <w:b w:val="1"/>
                <w:bCs w:val="1"/>
                <w:color w:val="auto"/>
              </w:rPr>
              <w:t>C&amp;I</w:t>
            </w:r>
          </w:p>
        </w:tc>
        <w:tc>
          <w:tcPr>
            <w:tcW w:w="260" w:type="dxa"/>
            <w:vAlign w:val="bottom"/>
          </w:tcPr>
          <w:p>
            <w:pPr>
              <w:spacing w:after="0"/>
              <w:rPr>
                <w:sz w:val="16"/>
                <w:szCs w:val="16"/>
                <w:color w:val="auto"/>
              </w:rPr>
            </w:pPr>
          </w:p>
        </w:tc>
        <w:tc>
          <w:tcPr>
            <w:tcW w:w="1360" w:type="dxa"/>
            <w:vAlign w:val="bottom"/>
            <w:gridSpan w:val="3"/>
          </w:tcPr>
          <w:p>
            <w:pPr>
              <w:ind w:left="900"/>
              <w:spacing w:after="0"/>
              <w:rPr>
                <w:sz w:val="20"/>
                <w:szCs w:val="20"/>
                <w:color w:val="auto"/>
              </w:rPr>
            </w:pPr>
            <w:r>
              <w:rPr>
                <w:rFonts w:ascii="Arial" w:cs="Arial" w:eastAsia="Arial" w:hAnsi="Arial"/>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7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Percent</w:t>
            </w:r>
          </w:p>
        </w:tc>
        <w:tc>
          <w:tcPr>
            <w:tcW w:w="120" w:type="dxa"/>
            <w:vAlign w:val="bottom"/>
          </w:tcPr>
          <w:p>
            <w:pPr>
              <w:spacing w:after="0"/>
              <w:rPr>
                <w:sz w:val="16"/>
                <w:szCs w:val="16"/>
                <w:color w:val="auto"/>
              </w:rPr>
            </w:pPr>
          </w:p>
        </w:tc>
        <w:tc>
          <w:tcPr>
            <w:tcW w:w="1060" w:type="dxa"/>
            <w:vAlign w:val="bottom"/>
          </w:tcPr>
          <w:p>
            <w:pPr>
              <w:jc w:val="right"/>
              <w:ind w:right="216"/>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400"/>
              <w:spacing w:after="0"/>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6"/>
                <w:szCs w:val="16"/>
                <w:color w:val="auto"/>
              </w:rPr>
            </w:pPr>
          </w:p>
        </w:tc>
        <w:tc>
          <w:tcPr>
            <w:tcW w:w="136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ind w:right="3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6"/>
        </w:trPr>
        <w:tc>
          <w:tcPr>
            <w:tcW w:w="2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Fixed price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431,673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733,686</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81.2 %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1,165,359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62.9 %</w:t>
            </w:r>
          </w:p>
        </w:tc>
        <w:tc>
          <w:tcPr>
            <w:tcW w:w="0" w:type="dxa"/>
            <w:vAlign w:val="bottom"/>
          </w:tcPr>
          <w:p>
            <w:pPr>
              <w:spacing w:after="0"/>
              <w:rPr>
                <w:sz w:val="1"/>
                <w:szCs w:val="1"/>
                <w:color w:val="auto"/>
              </w:rPr>
            </w:pPr>
          </w:p>
        </w:tc>
      </w:tr>
      <w:tr>
        <w:trPr>
          <w:trHeight w:val="243"/>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Unit price</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258,489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58,477</w:t>
            </w:r>
          </w:p>
        </w:tc>
        <w:tc>
          <w:tcPr>
            <w:tcW w:w="1440" w:type="dxa"/>
            <w:vAlign w:val="bottom"/>
            <w:gridSpan w:val="3"/>
          </w:tcPr>
          <w:p>
            <w:pPr>
              <w:jc w:val="right"/>
              <w:ind w:right="139"/>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316,966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T&amp;E</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258,123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111,793</w:t>
            </w:r>
          </w:p>
        </w:tc>
        <w:tc>
          <w:tcPr>
            <w:tcW w:w="144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369,916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7"/>
        </w:trPr>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948,285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903,956</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1,852,241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5"/>
        </w:trPr>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Nine months ended September 30, 2020</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ind w:left="920"/>
              <w:spacing w:after="0"/>
              <w:rPr>
                <w:sz w:val="20"/>
                <w:szCs w:val="20"/>
                <w:color w:val="auto"/>
              </w:rPr>
            </w:pPr>
            <w:r>
              <w:rPr>
                <w:rFonts w:ascii="Arial" w:cs="Arial" w:eastAsia="Arial" w:hAnsi="Arial"/>
                <w:sz w:val="14"/>
                <w:szCs w:val="14"/>
                <w:b w:val="1"/>
                <w:bCs w:val="1"/>
                <w:color w:val="auto"/>
              </w:rPr>
              <w:t>T&amp;D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40" w:type="dxa"/>
            <w:vAlign w:val="bottom"/>
            <w:gridSpan w:val="4"/>
          </w:tcPr>
          <w:p>
            <w:pPr>
              <w:jc w:val="center"/>
              <w:ind w:right="1260"/>
              <w:spacing w:after="0"/>
              <w:rPr>
                <w:sz w:val="20"/>
                <w:szCs w:val="20"/>
                <w:color w:val="auto"/>
              </w:rPr>
            </w:pPr>
            <w:r>
              <w:rPr>
                <w:rFonts w:ascii="Arial" w:cs="Arial" w:eastAsia="Arial" w:hAnsi="Arial"/>
                <w:sz w:val="14"/>
                <w:szCs w:val="14"/>
                <w:b w:val="1"/>
                <w:bCs w:val="1"/>
                <w:color w:val="auto"/>
              </w:rPr>
              <w:t>C&amp;I</w:t>
            </w:r>
          </w:p>
        </w:tc>
        <w:tc>
          <w:tcPr>
            <w:tcW w:w="260" w:type="dxa"/>
            <w:vAlign w:val="bottom"/>
          </w:tcPr>
          <w:p>
            <w:pPr>
              <w:spacing w:after="0"/>
              <w:rPr>
                <w:sz w:val="16"/>
                <w:szCs w:val="16"/>
                <w:color w:val="auto"/>
              </w:rPr>
            </w:pPr>
          </w:p>
        </w:tc>
        <w:tc>
          <w:tcPr>
            <w:tcW w:w="1360" w:type="dxa"/>
            <w:vAlign w:val="bottom"/>
            <w:gridSpan w:val="3"/>
          </w:tcPr>
          <w:p>
            <w:pPr>
              <w:ind w:left="900"/>
              <w:spacing w:after="0"/>
              <w:rPr>
                <w:sz w:val="20"/>
                <w:szCs w:val="20"/>
                <w:color w:val="auto"/>
              </w:rPr>
            </w:pPr>
            <w:r>
              <w:rPr>
                <w:rFonts w:ascii="Arial" w:cs="Arial" w:eastAsia="Arial" w:hAnsi="Arial"/>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7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Percent</w:t>
            </w:r>
          </w:p>
        </w:tc>
        <w:tc>
          <w:tcPr>
            <w:tcW w:w="120" w:type="dxa"/>
            <w:vAlign w:val="bottom"/>
          </w:tcPr>
          <w:p>
            <w:pPr>
              <w:spacing w:after="0"/>
              <w:rPr>
                <w:sz w:val="16"/>
                <w:szCs w:val="16"/>
                <w:color w:val="auto"/>
              </w:rPr>
            </w:pPr>
          </w:p>
        </w:tc>
        <w:tc>
          <w:tcPr>
            <w:tcW w:w="1060" w:type="dxa"/>
            <w:vAlign w:val="bottom"/>
          </w:tcPr>
          <w:p>
            <w:pPr>
              <w:jc w:val="right"/>
              <w:ind w:right="216"/>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400"/>
              <w:spacing w:after="0"/>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6"/>
                <w:szCs w:val="16"/>
                <w:color w:val="auto"/>
              </w:rPr>
            </w:pPr>
          </w:p>
        </w:tc>
        <w:tc>
          <w:tcPr>
            <w:tcW w:w="136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ind w:right="3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
        </w:trPr>
        <w:tc>
          <w:tcPr>
            <w:tcW w:w="2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Fixed price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374,065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654,815</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81.5 %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1,028,880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62.8 %</w:t>
            </w:r>
          </w:p>
        </w:tc>
        <w:tc>
          <w:tcPr>
            <w:tcW w:w="0" w:type="dxa"/>
            <w:vAlign w:val="bottom"/>
          </w:tcPr>
          <w:p>
            <w:pPr>
              <w:spacing w:after="0"/>
              <w:rPr>
                <w:sz w:val="1"/>
                <w:szCs w:val="1"/>
                <w:color w:val="auto"/>
              </w:rPr>
            </w:pPr>
          </w:p>
        </w:tc>
      </w:tr>
      <w:tr>
        <w:trPr>
          <w:trHeight w:val="243"/>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Unit price</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236,720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59,713</w:t>
            </w:r>
          </w:p>
        </w:tc>
        <w:tc>
          <w:tcPr>
            <w:tcW w:w="1440" w:type="dxa"/>
            <w:vAlign w:val="bottom"/>
            <w:gridSpan w:val="3"/>
          </w:tcPr>
          <w:p>
            <w:pPr>
              <w:jc w:val="right"/>
              <w:ind w:right="139"/>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296,433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27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T&amp;E</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224,983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89,126</w:t>
            </w:r>
          </w:p>
        </w:tc>
        <w:tc>
          <w:tcPr>
            <w:tcW w:w="144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314,109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7"/>
        </w:trPr>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835,768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803,654</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1,639,422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components of the Company’s revenue by market type for the three months ended September 30, 2021 and 2020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60" w:type="dxa"/>
            <w:vAlign w:val="bottom"/>
            <w:gridSpan w:val="5"/>
          </w:tcPr>
          <w:p>
            <w:pPr>
              <w:ind w:left="560"/>
              <w:spacing w:after="0"/>
              <w:rPr>
                <w:sz w:val="20"/>
                <w:szCs w:val="20"/>
                <w:color w:val="auto"/>
              </w:rPr>
            </w:pPr>
            <w:r>
              <w:rPr>
                <w:rFonts w:ascii="Arial" w:cs="Arial" w:eastAsia="Arial" w:hAnsi="Arial"/>
                <w:sz w:val="14"/>
                <w:szCs w:val="14"/>
                <w:b w:val="1"/>
                <w:bCs w:val="1"/>
                <w:color w:val="auto"/>
              </w:rPr>
              <w:t>Three months ended September 30, 2021</w:t>
            </w:r>
          </w:p>
        </w:tc>
        <w:tc>
          <w:tcPr>
            <w:tcW w:w="240" w:type="dxa"/>
            <w:vAlign w:val="bottom"/>
          </w:tcPr>
          <w:p>
            <w:pPr>
              <w:spacing w:after="0"/>
              <w:rPr>
                <w:sz w:val="16"/>
                <w:szCs w:val="16"/>
                <w:color w:val="auto"/>
              </w:rPr>
            </w:pPr>
          </w:p>
        </w:tc>
        <w:tc>
          <w:tcPr>
            <w:tcW w:w="3860" w:type="dxa"/>
            <w:vAlign w:val="bottom"/>
            <w:gridSpan w:val="4"/>
          </w:tcPr>
          <w:p>
            <w:pPr>
              <w:ind w:left="560"/>
              <w:spacing w:after="0"/>
              <w:rPr>
                <w:sz w:val="20"/>
                <w:szCs w:val="20"/>
                <w:color w:val="auto"/>
              </w:rPr>
            </w:pPr>
            <w:r>
              <w:rPr>
                <w:rFonts w:ascii="Arial" w:cs="Arial" w:eastAsia="Arial" w:hAnsi="Arial"/>
                <w:sz w:val="14"/>
                <w:szCs w:val="14"/>
                <w:b w:val="1"/>
                <w:bCs w:val="1"/>
                <w:color w:val="auto"/>
              </w:rPr>
              <w:t>Three months ended September 30, 2020</w:t>
            </w:r>
          </w:p>
        </w:tc>
      </w:tr>
      <w:tr>
        <w:trPr>
          <w:trHeight w:val="188"/>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bottom w:val="single" w:sz="8" w:color="CCEEFF"/>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Percent</w:t>
            </w:r>
          </w:p>
        </w:tc>
        <w:tc>
          <w:tcPr>
            <w:tcW w:w="1340" w:type="dxa"/>
            <w:vAlign w:val="bottom"/>
            <w:tcBorders>
              <w:top w:val="single" w:sz="8" w:color="auto"/>
              <w:bottom w:val="single" w:sz="8" w:color="auto"/>
            </w:tcBorders>
          </w:tcPr>
          <w:p>
            <w:pPr>
              <w:jc w:val="center"/>
              <w:ind w:left="35"/>
              <w:spacing w:after="0"/>
              <w:rPr>
                <w:sz w:val="20"/>
                <w:szCs w:val="20"/>
                <w:color w:val="auto"/>
              </w:rPr>
            </w:pPr>
            <w:r>
              <w:rPr>
                <w:rFonts w:ascii="Arial" w:cs="Arial" w:eastAsia="Arial" w:hAnsi="Arial"/>
                <w:sz w:val="14"/>
                <w:szCs w:val="14"/>
                <w:b w:val="1"/>
                <w:bCs w:val="1"/>
                <w:color w:val="auto"/>
                <w:w w:val="91"/>
              </w:rPr>
              <w:t>Segment</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bottom w:val="single" w:sz="8" w:color="CCEEFF"/>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Percent</w:t>
            </w:r>
          </w:p>
        </w:tc>
        <w:tc>
          <w:tcPr>
            <w:tcW w:w="1360" w:type="dxa"/>
            <w:vAlign w:val="bottom"/>
            <w:tcBorders>
              <w:top w:val="single" w:sz="8" w:color="auto"/>
              <w:bottom w:val="single" w:sz="8" w:color="auto"/>
            </w:tcBorders>
          </w:tcPr>
          <w:p>
            <w:pPr>
              <w:jc w:val="center"/>
              <w:ind w:left="35"/>
              <w:spacing w:after="0"/>
              <w:rPr>
                <w:sz w:val="20"/>
                <w:szCs w:val="20"/>
                <w:color w:val="auto"/>
              </w:rPr>
            </w:pPr>
            <w:r>
              <w:rPr>
                <w:rFonts w:ascii="Arial" w:cs="Arial" w:eastAsia="Arial" w:hAnsi="Arial"/>
                <w:sz w:val="14"/>
                <w:szCs w:val="14"/>
                <w:b w:val="1"/>
                <w:bCs w:val="1"/>
                <w:color w:val="auto"/>
                <w:w w:val="87"/>
              </w:rPr>
              <w:t>Segment</w:t>
            </w:r>
          </w:p>
        </w:tc>
      </w:tr>
      <w:tr>
        <w:trPr>
          <w:trHeight w:val="265"/>
        </w:trPr>
        <w:tc>
          <w:tcPr>
            <w:tcW w:w="2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Transmission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165,953</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27.2 %</w:t>
            </w:r>
          </w:p>
        </w:tc>
        <w:tc>
          <w:tcPr>
            <w:tcW w:w="1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T&amp;D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185,007</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30.4 %</w:t>
            </w:r>
          </w:p>
        </w:tc>
        <w:tc>
          <w:tcPr>
            <w:tcW w:w="136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rPr>
              <w:t>T&amp;D</w:t>
            </w:r>
          </w:p>
        </w:tc>
      </w:tr>
      <w:tr>
        <w:trPr>
          <w:trHeight w:val="270"/>
        </w:trPr>
        <w:tc>
          <w:tcPr>
            <w:tcW w:w="2900" w:type="dxa"/>
            <w:vAlign w:val="bottom"/>
            <w:gridSpan w:val="2"/>
          </w:tcPr>
          <w:p>
            <w:pPr>
              <w:ind w:left="140"/>
              <w:spacing w:after="0"/>
              <w:rPr>
                <w:sz w:val="20"/>
                <w:szCs w:val="20"/>
                <w:color w:val="auto"/>
              </w:rPr>
            </w:pPr>
            <w:r>
              <w:rPr>
                <w:rFonts w:ascii="Arial" w:cs="Arial" w:eastAsia="Arial" w:hAnsi="Arial"/>
                <w:sz w:val="18"/>
                <w:szCs w:val="18"/>
                <w:color w:val="auto"/>
              </w:rPr>
              <w:t>Distribution</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140,593</w:t>
            </w:r>
          </w:p>
        </w:tc>
        <w:tc>
          <w:tcPr>
            <w:tcW w:w="100" w:type="dxa"/>
            <w:vAlign w:val="bottom"/>
          </w:tcPr>
          <w:p>
            <w:pPr>
              <w:spacing w:after="0"/>
              <w:rPr>
                <w:sz w:val="23"/>
                <w:szCs w:val="23"/>
                <w:color w:val="auto"/>
              </w:rPr>
            </w:pPr>
          </w:p>
        </w:tc>
        <w:tc>
          <w:tcPr>
            <w:tcW w:w="1380" w:type="dxa"/>
            <w:vAlign w:val="bottom"/>
          </w:tcPr>
          <w:p>
            <w:pPr>
              <w:jc w:val="right"/>
              <w:ind w:right="134"/>
              <w:spacing w:after="0"/>
              <w:rPr>
                <w:sz w:val="20"/>
                <w:szCs w:val="20"/>
                <w:color w:val="auto"/>
              </w:rPr>
            </w:pPr>
            <w:r>
              <w:rPr>
                <w:rFonts w:ascii="Arial" w:cs="Arial" w:eastAsia="Arial" w:hAnsi="Arial"/>
                <w:sz w:val="18"/>
                <w:szCs w:val="18"/>
                <w:color w:val="auto"/>
              </w:rPr>
              <w:t>23.0</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rPr>
              <w:t>T&amp;D</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114,732</w:t>
            </w:r>
          </w:p>
        </w:tc>
        <w:tc>
          <w:tcPr>
            <w:tcW w:w="100" w:type="dxa"/>
            <w:vAlign w:val="bottom"/>
          </w:tcPr>
          <w:p>
            <w:pPr>
              <w:spacing w:after="0"/>
              <w:rPr>
                <w:sz w:val="23"/>
                <w:szCs w:val="23"/>
                <w:color w:val="auto"/>
              </w:rPr>
            </w:pPr>
          </w:p>
        </w:tc>
        <w:tc>
          <w:tcPr>
            <w:tcW w:w="1380" w:type="dxa"/>
            <w:vAlign w:val="bottom"/>
          </w:tcPr>
          <w:p>
            <w:pPr>
              <w:jc w:val="right"/>
              <w:ind w:right="134"/>
              <w:spacing w:after="0"/>
              <w:rPr>
                <w:sz w:val="20"/>
                <w:szCs w:val="20"/>
                <w:color w:val="auto"/>
              </w:rPr>
            </w:pPr>
            <w:r>
              <w:rPr>
                <w:rFonts w:ascii="Arial" w:cs="Arial" w:eastAsia="Arial" w:hAnsi="Arial"/>
                <w:sz w:val="18"/>
                <w:szCs w:val="18"/>
                <w:color w:val="auto"/>
              </w:rPr>
              <w:t>18.9</w:t>
            </w:r>
          </w:p>
        </w:tc>
        <w:tc>
          <w:tcPr>
            <w:tcW w:w="1360" w:type="dxa"/>
            <w:vAlign w:val="bottom"/>
          </w:tcPr>
          <w:p>
            <w:pPr>
              <w:jc w:val="center"/>
              <w:ind w:left="15"/>
              <w:spacing w:after="0"/>
              <w:rPr>
                <w:sz w:val="20"/>
                <w:szCs w:val="20"/>
                <w:color w:val="auto"/>
              </w:rPr>
            </w:pPr>
            <w:r>
              <w:rPr>
                <w:rFonts w:ascii="Arial" w:cs="Arial" w:eastAsia="Arial" w:hAnsi="Arial"/>
                <w:sz w:val="18"/>
                <w:szCs w:val="18"/>
                <w:color w:val="auto"/>
              </w:rPr>
              <w:t>T&amp;D</w:t>
            </w:r>
          </w:p>
        </w:tc>
      </w:tr>
      <w:tr>
        <w:trPr>
          <w:trHeight w:val="270"/>
        </w:trPr>
        <w:tc>
          <w:tcPr>
            <w:tcW w:w="2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Electrical construction</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303,636</w:t>
            </w:r>
          </w:p>
        </w:tc>
        <w:tc>
          <w:tcPr>
            <w:tcW w:w="10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49.8</w:t>
            </w:r>
          </w:p>
        </w:tc>
        <w:tc>
          <w:tcPr>
            <w:tcW w:w="14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rPr>
              <w:t>C&amp;I</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308,162</w:t>
            </w:r>
          </w:p>
        </w:tc>
        <w:tc>
          <w:tcPr>
            <w:tcW w:w="10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50.7</w:t>
            </w:r>
          </w:p>
        </w:tc>
        <w:tc>
          <w:tcPr>
            <w:tcW w:w="136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rPr>
              <w:t>C&amp;I</w:t>
            </w:r>
          </w:p>
        </w:tc>
      </w:tr>
      <w:tr>
        <w:trPr>
          <w:trHeight w:val="223"/>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610,182</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607,901</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360" w:type="dxa"/>
            <w:vAlign w:val="bottom"/>
          </w:tcPr>
          <w:p>
            <w:pPr>
              <w:spacing w:after="0"/>
              <w:rPr>
                <w:sz w:val="19"/>
                <w:szCs w:val="19"/>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components of the Company’s revenue by market type for the nine months ended September 30, 2021 and 2020 were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80" w:type="dxa"/>
            <w:vAlign w:val="bottom"/>
            <w:gridSpan w:val="5"/>
          </w:tcPr>
          <w:p>
            <w:pPr>
              <w:ind w:left="560"/>
              <w:spacing w:after="0"/>
              <w:rPr>
                <w:sz w:val="20"/>
                <w:szCs w:val="20"/>
                <w:color w:val="auto"/>
              </w:rPr>
            </w:pPr>
            <w:r>
              <w:rPr>
                <w:rFonts w:ascii="Arial" w:cs="Arial" w:eastAsia="Arial" w:hAnsi="Arial"/>
                <w:sz w:val="14"/>
                <w:szCs w:val="14"/>
                <w:b w:val="1"/>
                <w:bCs w:val="1"/>
                <w:color w:val="auto"/>
              </w:rPr>
              <w:t>Nine months ended September 30, 2021</w:t>
            </w:r>
          </w:p>
        </w:tc>
        <w:tc>
          <w:tcPr>
            <w:tcW w:w="240" w:type="dxa"/>
            <w:vAlign w:val="bottom"/>
          </w:tcPr>
          <w:p>
            <w:pPr>
              <w:spacing w:after="0"/>
              <w:rPr>
                <w:sz w:val="16"/>
                <w:szCs w:val="16"/>
                <w:color w:val="auto"/>
              </w:rPr>
            </w:pPr>
          </w:p>
        </w:tc>
        <w:tc>
          <w:tcPr>
            <w:tcW w:w="3880" w:type="dxa"/>
            <w:vAlign w:val="bottom"/>
            <w:gridSpan w:val="4"/>
          </w:tcPr>
          <w:p>
            <w:pPr>
              <w:ind w:left="600"/>
              <w:spacing w:after="0"/>
              <w:rPr>
                <w:sz w:val="20"/>
                <w:szCs w:val="20"/>
                <w:color w:val="auto"/>
              </w:rPr>
            </w:pPr>
            <w:r>
              <w:rPr>
                <w:rFonts w:ascii="Arial" w:cs="Arial" w:eastAsia="Arial" w:hAnsi="Arial"/>
                <w:sz w:val="14"/>
                <w:szCs w:val="14"/>
                <w:b w:val="1"/>
                <w:bCs w:val="1"/>
                <w:color w:val="auto"/>
              </w:rPr>
              <w:t>Nine months ended September 30, 2020</w:t>
            </w:r>
          </w:p>
        </w:tc>
        <w:tc>
          <w:tcPr>
            <w:tcW w:w="0" w:type="dxa"/>
            <w:vAlign w:val="bottom"/>
          </w:tcPr>
          <w:p>
            <w:pPr>
              <w:spacing w:after="0"/>
              <w:rPr>
                <w:sz w:val="1"/>
                <w:szCs w:val="1"/>
                <w:color w:val="auto"/>
              </w:rPr>
            </w:pPr>
          </w:p>
        </w:tc>
      </w:tr>
      <w:tr>
        <w:trPr>
          <w:trHeight w:val="26"/>
        </w:trPr>
        <w:tc>
          <w:tcPr>
            <w:tcW w:w="2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300" w:type="dxa"/>
            <w:vAlign w:val="bottom"/>
          </w:tcPr>
          <w:p>
            <w:pPr>
              <w:jc w:val="right"/>
              <w:ind w:right="334"/>
              <w:spacing w:after="0"/>
              <w:rPr>
                <w:sz w:val="20"/>
                <w:szCs w:val="20"/>
                <w:color w:val="auto"/>
              </w:rPr>
            </w:pPr>
            <w:r>
              <w:rPr>
                <w:rFonts w:ascii="Arial" w:cs="Arial" w:eastAsia="Arial" w:hAnsi="Arial"/>
                <w:sz w:val="14"/>
                <w:szCs w:val="14"/>
                <w:b w:val="1"/>
                <w:bCs w:val="1"/>
                <w:color w:val="auto"/>
              </w:rPr>
              <w:t>Percent</w:t>
            </w: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Segment</w:t>
            </w:r>
          </w:p>
        </w:tc>
        <w:tc>
          <w:tcPr>
            <w:tcW w:w="24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380" w:type="dxa"/>
            <w:vAlign w:val="bottom"/>
          </w:tcPr>
          <w:p>
            <w:pPr>
              <w:jc w:val="right"/>
              <w:ind w:right="374"/>
              <w:spacing w:after="0"/>
              <w:rPr>
                <w:sz w:val="20"/>
                <w:szCs w:val="20"/>
                <w:color w:val="auto"/>
              </w:rPr>
            </w:pPr>
            <w:r>
              <w:rPr>
                <w:rFonts w:ascii="Arial" w:cs="Arial" w:eastAsia="Arial" w:hAnsi="Arial"/>
                <w:sz w:val="14"/>
                <w:szCs w:val="14"/>
                <w:b w:val="1"/>
                <w:bCs w:val="1"/>
                <w:color w:val="auto"/>
              </w:rPr>
              <w:t>Percent</w:t>
            </w:r>
          </w:p>
        </w:tc>
        <w:tc>
          <w:tcPr>
            <w:tcW w:w="1360" w:type="dxa"/>
            <w:vAlign w:val="bottom"/>
          </w:tcPr>
          <w:p>
            <w:pPr>
              <w:jc w:val="center"/>
              <w:ind w:left="35"/>
              <w:spacing w:after="0"/>
              <w:rPr>
                <w:sz w:val="20"/>
                <w:szCs w:val="20"/>
                <w:color w:val="auto"/>
              </w:rPr>
            </w:pPr>
            <w:r>
              <w:rPr>
                <w:rFonts w:ascii="Arial" w:cs="Arial" w:eastAsia="Arial" w:hAnsi="Arial"/>
                <w:sz w:val="14"/>
                <w:szCs w:val="14"/>
                <w:b w:val="1"/>
                <w:bCs w:val="1"/>
                <w:color w:val="auto"/>
                <w:w w:val="87"/>
              </w:rPr>
              <w:t>Segment</w:t>
            </w:r>
          </w:p>
        </w:tc>
        <w:tc>
          <w:tcPr>
            <w:tcW w:w="0" w:type="dxa"/>
            <w:vAlign w:val="bottom"/>
          </w:tcPr>
          <w:p>
            <w:pPr>
              <w:spacing w:after="0"/>
              <w:rPr>
                <w:sz w:val="1"/>
                <w:szCs w:val="1"/>
                <w:color w:val="auto"/>
              </w:rPr>
            </w:pPr>
          </w:p>
        </w:tc>
      </w:tr>
      <w:tr>
        <w:trPr>
          <w:trHeight w:val="26"/>
        </w:trPr>
        <w:tc>
          <w:tcPr>
            <w:tcW w:w="2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Transmission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588,126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31.8 %</w:t>
            </w:r>
          </w:p>
        </w:tc>
        <w:tc>
          <w:tcPr>
            <w:tcW w:w="14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rPr>
              <w:t>T&amp;D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537,762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32.8 %</w:t>
            </w:r>
          </w:p>
        </w:tc>
        <w:tc>
          <w:tcPr>
            <w:tcW w:w="1360" w:type="dxa"/>
            <w:vAlign w:val="bottom"/>
            <w:tcBorders>
              <w:bottom w:val="single" w:sz="8" w:color="CCEEFF"/>
            </w:tcBorders>
            <w:shd w:val="clear" w:color="auto" w:fill="CCEEFF"/>
          </w:tcPr>
          <w:p>
            <w:pPr>
              <w:jc w:val="center"/>
              <w:ind w:left="15"/>
              <w:spacing w:after="0"/>
              <w:rPr>
                <w:sz w:val="20"/>
                <w:szCs w:val="20"/>
                <w:color w:val="auto"/>
              </w:rPr>
            </w:pPr>
            <w:r>
              <w:rPr>
                <w:rFonts w:ascii="Arial" w:cs="Arial" w:eastAsia="Arial" w:hAnsi="Arial"/>
                <w:sz w:val="18"/>
                <w:szCs w:val="18"/>
                <w:color w:val="auto"/>
              </w:rPr>
              <w:t>T&amp;D</w:t>
            </w:r>
          </w:p>
        </w:tc>
        <w:tc>
          <w:tcPr>
            <w:tcW w:w="0" w:type="dxa"/>
            <w:vAlign w:val="bottom"/>
          </w:tcPr>
          <w:p>
            <w:pPr>
              <w:spacing w:after="0"/>
              <w:rPr>
                <w:sz w:val="1"/>
                <w:szCs w:val="1"/>
                <w:color w:val="auto"/>
              </w:rPr>
            </w:pPr>
          </w:p>
        </w:tc>
      </w:tr>
      <w:tr>
        <w:trPr>
          <w:trHeight w:val="243"/>
        </w:trPr>
        <w:tc>
          <w:tcPr>
            <w:tcW w:w="2880" w:type="dxa"/>
            <w:vAlign w:val="bottom"/>
            <w:gridSpan w:val="2"/>
          </w:tcPr>
          <w:p>
            <w:pPr>
              <w:ind w:left="140"/>
              <w:spacing w:after="0"/>
              <w:rPr>
                <w:sz w:val="20"/>
                <w:szCs w:val="20"/>
                <w:color w:val="auto"/>
              </w:rPr>
            </w:pPr>
            <w:r>
              <w:rPr>
                <w:rFonts w:ascii="Arial" w:cs="Arial" w:eastAsia="Arial" w:hAnsi="Arial"/>
                <w:sz w:val="18"/>
                <w:szCs w:val="18"/>
                <w:color w:val="auto"/>
              </w:rPr>
              <w:t>Distribution</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360,159</w:t>
            </w:r>
          </w:p>
        </w:tc>
        <w:tc>
          <w:tcPr>
            <w:tcW w:w="100" w:type="dxa"/>
            <w:vAlign w:val="bottom"/>
          </w:tcPr>
          <w:p>
            <w:pPr>
              <w:spacing w:after="0"/>
              <w:rPr>
                <w:sz w:val="21"/>
                <w:szCs w:val="21"/>
                <w:color w:val="auto"/>
              </w:rPr>
            </w:pPr>
          </w:p>
        </w:tc>
        <w:tc>
          <w:tcPr>
            <w:tcW w:w="1300" w:type="dxa"/>
            <w:vAlign w:val="bottom"/>
          </w:tcPr>
          <w:p>
            <w:pPr>
              <w:jc w:val="right"/>
              <w:ind w:right="134"/>
              <w:spacing w:after="0"/>
              <w:rPr>
                <w:sz w:val="20"/>
                <w:szCs w:val="20"/>
                <w:color w:val="auto"/>
              </w:rPr>
            </w:pPr>
            <w:r>
              <w:rPr>
                <w:rFonts w:ascii="Arial" w:cs="Arial" w:eastAsia="Arial" w:hAnsi="Arial"/>
                <w:sz w:val="18"/>
                <w:szCs w:val="18"/>
                <w:color w:val="auto"/>
              </w:rPr>
              <w:t>19.4</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rPr>
              <w:t>T&amp;D</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298,006</w:t>
            </w:r>
          </w:p>
        </w:tc>
        <w:tc>
          <w:tcPr>
            <w:tcW w:w="120" w:type="dxa"/>
            <w:vAlign w:val="bottom"/>
          </w:tcPr>
          <w:p>
            <w:pPr>
              <w:spacing w:after="0"/>
              <w:rPr>
                <w:sz w:val="21"/>
                <w:szCs w:val="21"/>
                <w:color w:val="auto"/>
              </w:rPr>
            </w:pPr>
          </w:p>
        </w:tc>
        <w:tc>
          <w:tcPr>
            <w:tcW w:w="1380" w:type="dxa"/>
            <w:vAlign w:val="bottom"/>
          </w:tcPr>
          <w:p>
            <w:pPr>
              <w:jc w:val="right"/>
              <w:ind w:right="134"/>
              <w:spacing w:after="0"/>
              <w:rPr>
                <w:sz w:val="20"/>
                <w:szCs w:val="20"/>
                <w:color w:val="auto"/>
              </w:rPr>
            </w:pPr>
            <w:r>
              <w:rPr>
                <w:rFonts w:ascii="Arial" w:cs="Arial" w:eastAsia="Arial" w:hAnsi="Arial"/>
                <w:sz w:val="18"/>
                <w:szCs w:val="18"/>
                <w:color w:val="auto"/>
              </w:rPr>
              <w:t>18.2</w:t>
            </w:r>
          </w:p>
        </w:tc>
        <w:tc>
          <w:tcPr>
            <w:tcW w:w="1360" w:type="dxa"/>
            <w:vAlign w:val="bottom"/>
          </w:tcPr>
          <w:p>
            <w:pPr>
              <w:jc w:val="center"/>
              <w:ind w:left="15"/>
              <w:spacing w:after="0"/>
              <w:rPr>
                <w:sz w:val="20"/>
                <w:szCs w:val="20"/>
                <w:color w:val="auto"/>
              </w:rPr>
            </w:pPr>
            <w:r>
              <w:rPr>
                <w:rFonts w:ascii="Arial" w:cs="Arial" w:eastAsia="Arial" w:hAnsi="Arial"/>
                <w:sz w:val="18"/>
                <w:szCs w:val="18"/>
                <w:color w:val="auto"/>
              </w:rPr>
              <w:t>T&amp;D</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Electrical construction</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903,956</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48.8</w:t>
            </w:r>
          </w:p>
        </w:tc>
        <w:tc>
          <w:tcPr>
            <w:tcW w:w="14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rPr>
              <w:t>C&amp;I</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803,654</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49.0</w:t>
            </w:r>
          </w:p>
        </w:tc>
        <w:tc>
          <w:tcPr>
            <w:tcW w:w="1360" w:type="dxa"/>
            <w:vAlign w:val="bottom"/>
            <w:tcBorders>
              <w:bottom w:val="single" w:sz="8" w:color="CCEEFF"/>
            </w:tcBorders>
            <w:shd w:val="clear" w:color="auto" w:fill="CCEEFF"/>
          </w:tcPr>
          <w:p>
            <w:pPr>
              <w:jc w:val="center"/>
              <w:ind w:left="35"/>
              <w:spacing w:after="0"/>
              <w:rPr>
                <w:sz w:val="20"/>
                <w:szCs w:val="20"/>
                <w:color w:val="auto"/>
              </w:rPr>
            </w:pPr>
            <w:r>
              <w:rPr>
                <w:rFonts w:ascii="Arial" w:cs="Arial" w:eastAsia="Arial" w:hAnsi="Arial"/>
                <w:sz w:val="18"/>
                <w:szCs w:val="18"/>
                <w:color w:val="auto"/>
              </w:rPr>
              <w:t>C&amp;I</w:t>
            </w:r>
          </w:p>
        </w:tc>
        <w:tc>
          <w:tcPr>
            <w:tcW w:w="0" w:type="dxa"/>
            <w:vAlign w:val="bottom"/>
          </w:tcPr>
          <w:p>
            <w:pPr>
              <w:spacing w:after="0"/>
              <w:rPr>
                <w:sz w:val="1"/>
                <w:szCs w:val="1"/>
                <w:color w:val="auto"/>
              </w:rPr>
            </w:pPr>
          </w:p>
        </w:tc>
      </w:tr>
      <w:tr>
        <w:trPr>
          <w:trHeight w:val="263"/>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1,852,241</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1,639,422</w:t>
            </w:r>
          </w:p>
        </w:tc>
        <w:tc>
          <w:tcPr>
            <w:tcW w:w="12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As of September 30, 2021, the Company had $1.51 billion of remaining performance obligations. The Company’s remaining performance obligations include projects that have a written award, a letter of intent, a notice to proceed or an agreed upon work order to perform work on mutually accepted terms and conditions.</w:t>
      </w:r>
    </w:p>
    <w:p>
      <w:pPr>
        <w:spacing w:after="0" w:line="184"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The following table summarizes the amount of remaining performance obligations as of September 30, 2021 that the Company expects to be realized and the amount of the remaining performance obligations that the Company reasonably estimates will not be recognized within the next twelve months.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20" w:type="dxa"/>
            <w:vAlign w:val="bottom"/>
            <w:gridSpan w:val="5"/>
          </w:tcPr>
          <w:p>
            <w:pPr>
              <w:ind w:left="180"/>
              <w:spacing w:after="0"/>
              <w:rPr>
                <w:sz w:val="20"/>
                <w:szCs w:val="20"/>
                <w:color w:val="auto"/>
              </w:rPr>
            </w:pPr>
            <w:r>
              <w:rPr>
                <w:rFonts w:ascii="Arial" w:cs="Arial" w:eastAsia="Arial" w:hAnsi="Arial"/>
                <w:sz w:val="14"/>
                <w:szCs w:val="14"/>
                <w:b w:val="1"/>
                <w:bCs w:val="1"/>
                <w:color w:val="auto"/>
              </w:rPr>
              <w:t>Remaining Performance Obligations at September 30, 2021</w:t>
            </w:r>
          </w:p>
        </w:tc>
        <w:tc>
          <w:tcPr>
            <w:tcW w:w="18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6"/>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160"/>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gridSpan w:val="2"/>
          </w:tcPr>
          <w:p>
            <w:pPr>
              <w:jc w:val="center"/>
              <w:ind w:right="280"/>
              <w:spacing w:after="0" w:line="160" w:lineRule="exact"/>
              <w:rPr>
                <w:sz w:val="20"/>
                <w:szCs w:val="20"/>
                <w:color w:val="auto"/>
              </w:rPr>
            </w:pPr>
            <w:r>
              <w:rPr>
                <w:rFonts w:ascii="Arial" w:cs="Arial" w:eastAsia="Arial" w:hAnsi="Arial"/>
                <w:sz w:val="14"/>
                <w:szCs w:val="14"/>
                <w:b w:val="1"/>
                <w:bCs w:val="1"/>
                <w:color w:val="auto"/>
                <w:w w:val="91"/>
              </w:rPr>
              <w:t>Amount estimated to not be</w:t>
            </w:r>
          </w:p>
        </w:tc>
        <w:tc>
          <w:tcPr>
            <w:tcW w:w="18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186"/>
        </w:trPr>
        <w:tc>
          <w:tcPr>
            <w:tcW w:w="4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6"/>
                <w:szCs w:val="16"/>
                <w:color w:val="auto"/>
              </w:rPr>
            </w:pPr>
          </w:p>
        </w:tc>
        <w:tc>
          <w:tcPr>
            <w:tcW w:w="2060" w:type="dxa"/>
            <w:vAlign w:val="bottom"/>
            <w:gridSpan w:val="2"/>
          </w:tcPr>
          <w:p>
            <w:pPr>
              <w:ind w:left="6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6"/>
                <w:szCs w:val="16"/>
                <w:color w:val="auto"/>
              </w:rPr>
            </w:pPr>
          </w:p>
        </w:tc>
        <w:tc>
          <w:tcPr>
            <w:tcW w:w="2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recognized within 12 months</w:t>
            </w:r>
          </w:p>
        </w:tc>
        <w:tc>
          <w:tcPr>
            <w:tcW w:w="180" w:type="dxa"/>
            <w:vAlign w:val="bottom"/>
          </w:tcPr>
          <w:p>
            <w:pPr>
              <w:spacing w:after="0"/>
              <w:rPr>
                <w:sz w:val="16"/>
                <w:szCs w:val="16"/>
                <w:color w:val="auto"/>
              </w:rPr>
            </w:pPr>
          </w:p>
        </w:tc>
        <w:tc>
          <w:tcPr>
            <w:tcW w:w="2000" w:type="dxa"/>
            <w:vAlign w:val="bottom"/>
          </w:tcPr>
          <w:p>
            <w:pPr>
              <w:jc w:val="right"/>
              <w:ind w:right="175"/>
              <w:spacing w:after="0"/>
              <w:rPr>
                <w:sz w:val="20"/>
                <w:szCs w:val="20"/>
                <w:color w:val="auto"/>
              </w:rPr>
            </w:pPr>
            <w:r>
              <w:rPr>
                <w:rFonts w:ascii="Arial" w:cs="Arial" w:eastAsia="Arial" w:hAnsi="Arial"/>
                <w:sz w:val="14"/>
                <w:szCs w:val="14"/>
                <w:b w:val="1"/>
                <w:bCs w:val="1"/>
                <w:color w:val="auto"/>
                <w:w w:val="95"/>
              </w:rPr>
              <w:t>Total at December 31, 2020</w:t>
            </w:r>
          </w:p>
        </w:tc>
      </w:tr>
      <w:tr>
        <w:trPr>
          <w:trHeight w:val="26"/>
        </w:trPr>
        <w:tc>
          <w:tcPr>
            <w:tcW w:w="4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50"/>
        </w:trPr>
        <w:tc>
          <w:tcPr>
            <w:tcW w:w="4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50"/>
        </w:trPr>
        <w:tc>
          <w:tcPr>
            <w:tcW w:w="43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T&amp;D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534,964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645,422</w:t>
            </w:r>
          </w:p>
        </w:tc>
      </w:tr>
      <w:tr>
        <w:trPr>
          <w:trHeight w:val="243"/>
        </w:trPr>
        <w:tc>
          <w:tcPr>
            <w:tcW w:w="4340" w:type="dxa"/>
            <w:vAlign w:val="bottom"/>
            <w:gridSpan w:val="2"/>
          </w:tcPr>
          <w:p>
            <w:pPr>
              <w:jc w:val="center"/>
              <w:ind w:right="100"/>
              <w:spacing w:after="0"/>
              <w:rPr>
                <w:sz w:val="20"/>
                <w:szCs w:val="20"/>
                <w:color w:val="auto"/>
              </w:rPr>
            </w:pPr>
            <w:r>
              <w:rPr>
                <w:rFonts w:ascii="Arial" w:cs="Arial" w:eastAsia="Arial" w:hAnsi="Arial"/>
                <w:sz w:val="18"/>
                <w:szCs w:val="18"/>
                <w:color w:val="auto"/>
              </w:rPr>
              <w:t>C&amp;I</w:t>
            </w:r>
          </w:p>
        </w:tc>
        <w:tc>
          <w:tcPr>
            <w:tcW w:w="3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974,683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207,990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889,596</w:t>
            </w:r>
          </w:p>
        </w:tc>
      </w:tr>
      <w:tr>
        <w:trPr>
          <w:trHeight w:val="27"/>
        </w:trPr>
        <w:tc>
          <w:tcPr>
            <w:tcW w:w="4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89"/>
        </w:trPr>
        <w:tc>
          <w:tcPr>
            <w:tcW w:w="43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1,509,647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297,521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1,535,018</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The Company expects a vast majority of the remaining performance obligations to be recognized within twenty-four months, although the timing of the Company’s performance is not always under its control. Additionally, the difference between the remaining performance obligations and backlog is due to the exclusion of a portion of the Company’s MSAs under certain contract types from the Company’s remaining performance obligations as these contracts can be canceled for convenience at any time by the Company or the customer without considerable cost incurred by the customer. Additional information related to backlog is provided in Item 2. “Management’s Discussion and Analysis of Financial Condition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29"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The U.S. federal statutory tax rate was 21% for each of the three and nine months ended September 30, 2021 and 2020. The Company’s effective tax rate for the three and nine months ended September 30, 2021 was 24.6% and 25.9%, respectively, of pretax income compared to the effective tax rate for the three and nine months ended September 30, 2020 of 27.4% and 27.7%, respectively.</w:t>
      </w:r>
    </w:p>
    <w:p>
      <w:pPr>
        <w:spacing w:after="0" w:line="18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difference between the U.S. federal statutory tax rate and the Company’s effective tax rate for the three and nine months ended September 30, 2021 was primarily due to state income taxes, foreign earnings and other permanent difference items, partially offset by a favorable impact from stock compensation excess tax benefits.</w:t>
      </w:r>
    </w:p>
    <w:p>
      <w:pPr>
        <w:spacing w:after="0" w:line="184"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difference between the U.S. federal statutory tax rate and the Company’s effective tax rate for the three and nine months ended September 30, 2020, was primarily due to state income taxes and foreign earnings and the associated impact of the global intangible low tax income.</w:t>
      </w:r>
    </w:p>
    <w:p>
      <w:pPr>
        <w:spacing w:after="0" w:line="12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Company had unrecognized tax benefits of approximately $0.5 million and $0.4 million as of September 30, 2021 and December 31, 2020, respectively, which were included in other liabilities in the accompanying consolidated balance sheets.</w:t>
      </w:r>
    </w:p>
    <w:p>
      <w:pPr>
        <w:spacing w:after="0" w:line="170"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The Company’s policy is to recognize interest and penalties related to income tax liabilities as a component of income tax expense in the consolidated statements of operations. The amount of interest and penalties charged to income tax expense related to unrecognized tax benefits was not significant for the three and nine months ended September 30, 2021 and 2020.</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Company is subject to taxation in various jurisdictions. The Company’s 2018 through 2020 tax returns are subject to examination by U.S. federal authorities. The Company’s tax returns are subject to examination by various state authorities for the years 2017 through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As of September 30, 2021, the Company had approximately $11.2 million in outstanding purchase orders for certain construction equipment, with cash payments scheduled to occur over the next eight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and Claims Accruals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 carries insurance policies, which are subject to certain deductibles and limits, for workers’ compensation, general liability, automobile liability and other insurance coverage. The deductible per occurrence for each line of coverage is up to $1.0 million, except for wildfire coverage which has a deductible of $2.0 million. The Company also maintains excess umbrella coverage providing higher layers of insurance coverage for losses that exhaust the limits of underlying coverage. A layer of this umbrella coverage requires the Company to pay a portion of any loss within a certain loss range and our potential exposure for such losses is up to approximately $3.8 million. The Company’s health benefit plans are subject to stop-loss limits of up to $0.2 million for qualified individuals. Losses up to the deductible and stop-loss amounts are accrued based upon the Company’s estimates of the ultimate liability for claims reported and an estimate of claims incurred but not yet reported.</w:t>
      </w:r>
    </w:p>
    <w:p>
      <w:pPr>
        <w:spacing w:after="0" w:line="177"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and long-term assets in the Company’s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and Payment Bonds and Parent Guarantees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certain circumstances, the Company is required to provide performance and payment bonds in connection with its future performance on certain contractual commitments. The Company has indemnified its sureties for any expenses paid out under these bonds. As of September 30, 2021, an aggregate of approximately $1.28 billion in original face amount of bonds issued by the Company’s sureties were outstanding. The Company estimated the remaining cost to complete these bonded projects was approximately $531.5 million as of September 30, 2021.</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From time to time, the Company guarantees the obligations of wholly owned subsidiaries, including obligations under certain contracts with customers, certain lease agreements, and, in some states, obligations in connection with obtaining contractors’ licenses. Additionally, from time to time the Company is required to post letters of credit to guarantee the obligations of wholly owned subsidiaries, which reduces the borrowing availability under the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Indemnities</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From time to time, pursuant to its service arrangements, the Company indemnifies its customers for claims related to the services it provides under those service arrangements. These indemnification obligations may subject the Company to indemnity claims and liabilities and related litigation. The Company is not aware of any material unrecorded liabilities for asserted claims in connection with these indemnification obligations.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Collective Bargaining Agreements</w:t>
      </w:r>
    </w:p>
    <w:p>
      <w:pPr>
        <w:spacing w:after="0" w:line="225"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Most of the Company’s subsidiaries’ craft labor employees are covered by collective bargaining agreements. The agreements require the subsidiaries to pay specified wages, provide certain benefits and contribute certain amounts to multi-employer pension plans. If a subsidiary withdraws from any of the multi-employer pension plans or if the plans were to otherwise become underfunded, the subsidiary could incur liabilities for additional contributions related to these plans. Although the Company has been informed that the underfunding of some of the multi-employer pension plans to which its subsidiaries contribute have been classified as “critical” status, the Company is not currently aware of any potential liabilities related to this issue.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Other Legal Matters</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Company is from time-to-time party to various lawsuits, claims and other legal proceedings that arise in the ordinary course of business. These actions typically seek, among other things, compensation for alleged personal injury, breach of contract, property damages, punitive damages, civil penalties or other losses, or injunctive or declaratory relief.</w:t>
      </w:r>
    </w:p>
    <w:p>
      <w:pPr>
        <w:spacing w:after="0" w:line="18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Company is routinely subject to other civil claims, litigation and arbitration, and regulatory investigations arising in the ordinary course of our business, as well as in respect of our divested businesses. These claims, lawsuits and other proceedings include claims related to the Company’s current services and operations, as well as our historic operations.</w:t>
      </w:r>
    </w:p>
    <w:p>
      <w:pPr>
        <w:spacing w:after="0" w:line="184"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With respect to all such lawsuits, claims and proceedings, the Company records reserves when it is probable that a liability has been incurred and the amount of loss can be reasonably estimated. The Company does not believe that any of these proceedings, separately or in the aggregate, would be expected to have a material adverse effect on the Company’s financial position, results of operations or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2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The Company maintains two equity compensation plans under which stock-based compensation has been granted: the 2017 Long-Term Incentive Plan (which was amended and restated as of April 23, 2020) (the “LTIP”) and the 2007 Long-Term Incentive Plan (as amended) (the “2007 Plan”). Upon the adoption of the original LTIP in 2017, awards were no longer granted under the 2007 Plan. The LTIP provides for grants of (a) incentive stock options qualified as such under U.S. federal income tax laws, (b) stock options that do not qualify as incentive stock options, (c) stock appreciation rights,</w:t>
      </w:r>
    </w:p>
    <w:p>
      <w:pPr>
        <w:spacing w:after="0" w:line="1"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restricted stock awards, (e) restricted stock units, (f) performance share awards, (g) phantom stock units, (h) stock bonuses, (i) dividend equivalents, and</w:t>
      </w:r>
    </w:p>
    <w:p>
      <w:pPr>
        <w:spacing w:after="0" w:line="32" w:lineRule="exact"/>
        <w:rPr>
          <w:rFonts w:ascii="Arial" w:cs="Arial" w:eastAsia="Arial" w:hAnsi="Arial"/>
          <w:sz w:val="16"/>
          <w:szCs w:val="16"/>
          <w:color w:val="auto"/>
        </w:rPr>
      </w:pPr>
    </w:p>
    <w:p>
      <w:pPr>
        <w:ind w:right="120" w:firstLine="8"/>
        <w:spacing w:after="0" w:line="260" w:lineRule="auto"/>
        <w:tabs>
          <w:tab w:leader="none" w:pos="215"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combination of such grants. The Company has outstanding grants of non-qualified stock options, time-vested stock awards in the form of restricted stock units and internal metric-based and market-based performance stock units.</w:t>
      </w:r>
    </w:p>
    <w:p>
      <w:pPr>
        <w:spacing w:after="0" w:line="18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During the nine months ended September 30, 2021, the Company granted time-vested stock awards covering 57,196 shares of common stock under the LTIP, which vest ratably over three years for employee awards and after one year for non-employee director awards, at a weighted average grant date fair value of $66.80. During the nine months ended September 30, 2021, time-vested stock awards covering 87,584 shares of common stock vested at a weighted average grant date fair value of $29.20.</w:t>
      </w:r>
    </w:p>
    <w:p>
      <w:pPr>
        <w:spacing w:after="0" w:line="187"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During the nine months ended September 30, 2021, the Company granted 42,091 performance share awards under the LTIP at target, which will cliff vest, if earned, on December 31, 2023, at a weighted average grant date fair value of $80.11. The number of shares ultimately earned under a performance award may vary from zero to 200% of the target shares granted, based upon the Company’s performance compared to certain metrics. The metrics used were determined at the time of the grant by the Compensation Committee of the Board of Directors and were either based on internal measures, such as the Company’s financial performance compared to targets, or on a market-based metric, such as the Company’s stock performance compared to a peer group. Performance awards granted cliff vest following the performance period if the stated performance targets and minimum service requirements are attained and are paid in shares of the Company’s common stock.</w:t>
      </w:r>
    </w:p>
    <w:p>
      <w:pPr>
        <w:spacing w:after="0" w:line="17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During the nine months ended September 30, 2021, plan participants exercised options to purchase 21,117 shares of the Company’s common stock with a weighted average exercise price of $22.88.</w:t>
      </w:r>
    </w:p>
    <w:p>
      <w:pPr>
        <w:spacing w:after="0" w:line="170"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The Company recognizes stock-based compensation expense related to restricted stock units based on the grant date fair value, which was the closing price of the Company’s stock on the date of grant. The fair value is expensed over the service period, which is generally three years.</w:t>
      </w:r>
    </w:p>
    <w:p>
      <w:pPr>
        <w:spacing w:after="0" w:line="12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For performance awards, the Company recognizes stock-based compensation expense based on the grant date fair value of the award. The fair value of internal metric-based performance awards is determined by the closing stock price of the Company’s common stock on the date of the grant. The fair value of market-based performance awards is computed using a Monte Carlo simulation. Performance awards are expensed over the service period of approximately 2.8 years, and the Company adjusts the stock-based compensation expense related to internal metric-based performance awards according to its determination of the shares expected to vest at each reporting date.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w:t>
      </w:r>
    </w:p>
    <w:p>
      <w:pPr>
        <w:spacing w:after="0" w:line="229"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MYR Group is a holding company of specialty contractors serving electrical utility infrastructure and commercial construction markets in the United States and western Canada. The Company has two reporting segments, each a separate operating segment, which are referred to as T&amp;D and C&amp;I. Performance measurement and resource allocation for the reporting segments are based on many factors. The primary financial measures used to evaluate the segment information are contract revenues and income from operations, excluding general corporate expenses. General corporate expenses include corporate facility and staffing costs, which include safety costs, professional fees, IT expenses and management fees. The accounting policies of the segments are the same as those described in the Note 1–Organization, Business and Significant Accounting Policies to the 2020 Annual Report.</w:t>
      </w:r>
    </w:p>
    <w:p>
      <w:pPr>
        <w:spacing w:after="0" w:line="164"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Transmission and Distribution: The T&amp;D segment provides a broad range of services on electric transmission and distribution networks and substation facilities which include design, engineering, procurement, construction, upgrade, maintenance and repair services with a particular focus on construction, maintenance and repair. T&amp;D services include the construction and maintenance of high voltage transmission lines, substations and lower voltage underground and overhead distribution systems. The T&amp;D segment also provides emergency restoration services in response to hurricane, ice or other storm-related damage. T&amp;D customers include investor-owned utilities, cooperatives, private developers, government-funded utilities, independent power producers, independent transmission companies, industrial facility owners and other contractors.</w:t>
      </w:r>
    </w:p>
    <w:p>
      <w:pPr>
        <w:spacing w:after="0" w:line="17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Commercial and Industrial: The C&amp;I segment provides services such as the design, installation, maintenance and repair of commercial and industrial wiring, installation of traffic networks and the installation of bridge, roadway and tunnel lighting. Typical C&amp;I contracts cover electrical contracting services for airports, hospitals, data centers, hotels, stadiums, convention centers, renewable energy projects, manufacturing plants, processing facilities, waste-water treatment facilities, mining facilities and transportation control and management systems. The C&amp;I segment generally provides electric construction and maintenance services as a subcontractor to general contractors in the C&amp;I industry, but also contracts directly with facility owners. The C&amp;I segment has a diverse customer base with many long-standing relationships.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information in the following table is derived from the segment’s internal financial reports used for corporate management purposes: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8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420" w:type="dxa"/>
            <w:vAlign w:val="bottom"/>
            <w:gridSpan w:val="4"/>
          </w:tcPr>
          <w:p>
            <w:pPr>
              <w:jc w:val="right"/>
              <w:ind w:right="670"/>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5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6"/>
                <w:szCs w:val="16"/>
                <w:color w:val="auto"/>
              </w:rPr>
            </w:pPr>
          </w:p>
        </w:tc>
      </w:tr>
      <w:tr>
        <w:trPr>
          <w:trHeight w:val="270"/>
        </w:trPr>
        <w:tc>
          <w:tcPr>
            <w:tcW w:w="53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3"/>
                <w:szCs w:val="23"/>
                <w:color w:val="auto"/>
              </w:rPr>
            </w:pPr>
          </w:p>
        </w:tc>
        <w:tc>
          <w:tcPr>
            <w:tcW w:w="1080" w:type="dxa"/>
            <w:vAlign w:val="bottom"/>
          </w:tcPr>
          <w:p>
            <w:pPr>
              <w:jc w:val="right"/>
              <w:ind w:right="434"/>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394"/>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370"/>
              <w:spacing w:after="0"/>
              <w:rPr>
                <w:sz w:val="20"/>
                <w:szCs w:val="20"/>
                <w:color w:val="auto"/>
              </w:rPr>
            </w:pPr>
            <w:r>
              <w:rPr>
                <w:rFonts w:ascii="Arial" w:cs="Arial" w:eastAsia="Arial" w:hAnsi="Arial"/>
                <w:sz w:val="18"/>
                <w:szCs w:val="18"/>
                <w:b w:val="1"/>
                <w:bCs w:val="1"/>
                <w:color w:val="auto"/>
                <w:w w:val="94"/>
              </w:rPr>
              <w:t>2020</w:t>
            </w:r>
          </w:p>
        </w:tc>
      </w:tr>
      <w:tr>
        <w:trPr>
          <w:trHeight w:val="25"/>
        </w:trPr>
        <w:tc>
          <w:tcPr>
            <w:tcW w:w="5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0"/>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Contract revenues: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gridSpan w:val="2"/>
          </w:tcPr>
          <w:p>
            <w:pPr>
              <w:ind w:left="140"/>
              <w:spacing w:after="0"/>
              <w:rPr>
                <w:sz w:val="20"/>
                <w:szCs w:val="20"/>
                <w:color w:val="auto"/>
              </w:rPr>
            </w:pPr>
            <w:r>
              <w:rPr>
                <w:rFonts w:ascii="Arial" w:cs="Arial" w:eastAsia="Arial" w:hAnsi="Arial"/>
                <w:sz w:val="18"/>
                <w:szCs w:val="18"/>
                <w:color w:val="auto"/>
              </w:rPr>
              <w:t>T&amp;D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306,546</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299,739</w:t>
            </w:r>
          </w:p>
        </w:tc>
        <w:tc>
          <w:tcPr>
            <w:tcW w:w="28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948,285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835,768</w:t>
            </w:r>
          </w:p>
        </w:tc>
      </w:tr>
      <w:tr>
        <w:trPr>
          <w:trHeight w:val="27"/>
        </w:trPr>
        <w:tc>
          <w:tcPr>
            <w:tcW w:w="5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C&amp;I</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303,636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308,162</w:t>
            </w:r>
          </w:p>
        </w:tc>
        <w:tc>
          <w:tcPr>
            <w:tcW w:w="2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903,956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803,654</w:t>
            </w:r>
          </w:p>
        </w:tc>
      </w:tr>
      <w:tr>
        <w:trPr>
          <w:trHeight w:val="237"/>
        </w:trPr>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610,182</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607,901</w:t>
            </w:r>
          </w:p>
        </w:tc>
        <w:tc>
          <w:tcPr>
            <w:tcW w:w="28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1,852,241</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1,639,422</w:t>
            </w:r>
          </w:p>
        </w:tc>
      </w:tr>
      <w:tr>
        <w:trPr>
          <w:trHeight w:val="27"/>
        </w:trPr>
        <w:tc>
          <w:tcPr>
            <w:tcW w:w="5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7"/>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r>
      <w:tr>
        <w:trPr>
          <w:trHeight w:val="243"/>
        </w:trPr>
        <w:tc>
          <w:tcPr>
            <w:tcW w:w="5360" w:type="dxa"/>
            <w:vAlign w:val="bottom"/>
            <w:gridSpan w:val="2"/>
          </w:tcPr>
          <w:p>
            <w:pPr>
              <w:ind w:left="140"/>
              <w:spacing w:after="0"/>
              <w:rPr>
                <w:sz w:val="20"/>
                <w:szCs w:val="20"/>
                <w:color w:val="auto"/>
              </w:rPr>
            </w:pPr>
            <w:r>
              <w:rPr>
                <w:rFonts w:ascii="Arial" w:cs="Arial" w:eastAsia="Arial" w:hAnsi="Arial"/>
                <w:sz w:val="18"/>
                <w:szCs w:val="18"/>
                <w:color w:val="auto"/>
              </w:rPr>
              <w:t>T&amp;D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35,301</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32,387</w:t>
            </w:r>
          </w:p>
        </w:tc>
        <w:tc>
          <w:tcPr>
            <w:tcW w:w="28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96,737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74,189</w:t>
            </w:r>
          </w:p>
        </w:tc>
      </w:tr>
      <w:tr>
        <w:trPr>
          <w:trHeight w:val="27"/>
        </w:trPr>
        <w:tc>
          <w:tcPr>
            <w:tcW w:w="5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C&amp;I</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11,732</w:t>
            </w: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30,002</w:t>
            </w:r>
          </w:p>
        </w:tc>
      </w:tr>
      <w:tr>
        <w:trPr>
          <w:trHeight w:val="243"/>
        </w:trPr>
        <w:tc>
          <w:tcPr>
            <w:tcW w:w="5360" w:type="dxa"/>
            <w:vAlign w:val="bottom"/>
            <w:gridSpan w:val="2"/>
          </w:tcPr>
          <w:p>
            <w:pPr>
              <w:ind w:left="140"/>
              <w:spacing w:after="0"/>
              <w:rPr>
                <w:sz w:val="20"/>
                <w:szCs w:val="20"/>
                <w:color w:val="auto"/>
              </w:rPr>
            </w:pPr>
            <w:r>
              <w:rPr>
                <w:rFonts w:ascii="Arial" w:cs="Arial" w:eastAsia="Arial" w:hAnsi="Arial"/>
                <w:sz w:val="18"/>
                <w:szCs w:val="18"/>
                <w:color w:val="auto"/>
              </w:rPr>
              <w:t>General Corporate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(18,488)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(19,190)</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(51,644)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(43,512)</w:t>
            </w:r>
          </w:p>
        </w:tc>
      </w:tr>
      <w:tr>
        <w:trPr>
          <w:trHeight w:val="27"/>
        </w:trPr>
        <w:tc>
          <w:tcPr>
            <w:tcW w:w="5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8"/>
        </w:trPr>
        <w:tc>
          <w:tcPr>
            <w:tcW w:w="5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30,952</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24,929</w:t>
            </w:r>
          </w:p>
        </w:tc>
        <w:tc>
          <w:tcPr>
            <w:tcW w:w="2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88,028</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60,679</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229"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The Company computes earnings per share using the treasury stock method. Under the treasury stock method, basic earnings per share are computed by dividing net income available to stockholders by the weighted average number of common shares outstanding during the period, and diluted earnings per share are computed by dividing net income available to stockholders by the weighted average number of common shares outstanding during the period plus all potentially dilutive common stock equivalents, except in cases where the effect of the common stock equivalent would be anti-dilutive.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Net income and the weighted average number of common shares used to compute basic and diluted earnings per share were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40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5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23,171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17,292</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64,318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40,609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Denominator:</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16,828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16,670</w:t>
            </w:r>
          </w:p>
        </w:tc>
        <w:tc>
          <w:tcPr>
            <w:tcW w:w="0" w:type="dxa"/>
            <w:vAlign w:val="bottom"/>
          </w:tcPr>
          <w:p>
            <w:pPr>
              <w:spacing w:after="0"/>
              <w:rPr>
                <w:sz w:val="1"/>
                <w:szCs w:val="1"/>
                <w:color w:val="auto"/>
              </w:rPr>
            </w:pPr>
          </w:p>
        </w:tc>
      </w:tr>
      <w:tr>
        <w:trPr>
          <w:trHeight w:val="243"/>
        </w:trPr>
        <w:tc>
          <w:tcPr>
            <w:tcW w:w="5620" w:type="dxa"/>
            <w:vAlign w:val="bottom"/>
            <w:gridSpan w:val="2"/>
          </w:tcPr>
          <w:p>
            <w:pPr>
              <w:ind w:left="140"/>
              <w:spacing w:after="0"/>
              <w:rPr>
                <w:sz w:val="20"/>
                <w:szCs w:val="20"/>
                <w:color w:val="auto"/>
              </w:rPr>
            </w:pPr>
            <w:r>
              <w:rPr>
                <w:rFonts w:ascii="Arial" w:cs="Arial" w:eastAsia="Arial" w:hAnsi="Arial"/>
                <w:sz w:val="18"/>
                <w:szCs w:val="18"/>
                <w:color w:val="auto"/>
              </w:rPr>
              <w:t>Weighted average dilutive securities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 diluted</w:t>
            </w: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17,167</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17,132</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16,798</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per common share: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5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For the three and nine months ended September 30, 2021 and 2020, certain common stock equivalents were excluded from the calculation of dilutive securities because their inclusion would either have been anti-dilutive or, for stock options, the exercise prices of those stock options were greater than the average market price of the Company’s common stock for the period. All of the Company’s unvested time-vested stock awards were included in the computation of weighted average dilutive securities.</w:t>
      </w:r>
    </w:p>
    <w:p>
      <w:pPr>
        <w:spacing w:after="0" w:line="18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summarizes the shares of common stock underlying the Company’s unvested performance awards that were excluded from the calculation of dilutive securities: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4"/>
          </w:tcPr>
          <w:p>
            <w:pPr>
              <w:jc w:val="center"/>
              <w:ind w:left="308"/>
              <w:spacing w:after="0"/>
              <w:rPr>
                <w:sz w:val="20"/>
                <w:szCs w:val="20"/>
                <w:color w:val="auto"/>
              </w:rPr>
            </w:pPr>
            <w:r>
              <w:rPr>
                <w:rFonts w:ascii="Arial" w:cs="Arial" w:eastAsia="Arial" w:hAnsi="Arial"/>
                <w:sz w:val="14"/>
                <w:szCs w:val="14"/>
                <w:b w:val="1"/>
                <w:bCs w:val="1"/>
                <w:color w:val="auto"/>
                <w:w w:val="91"/>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4"/>
          </w:tcPr>
          <w:p>
            <w:pPr>
              <w:jc w:val="center"/>
              <w:ind w:left="328"/>
              <w:spacing w:after="0"/>
              <w:rPr>
                <w:sz w:val="20"/>
                <w:szCs w:val="20"/>
                <w:color w:val="auto"/>
              </w:rPr>
            </w:pPr>
            <w:r>
              <w:rPr>
                <w:rFonts w:ascii="Arial" w:cs="Arial" w:eastAsia="Arial" w:hAnsi="Arial"/>
                <w:sz w:val="14"/>
                <w:szCs w:val="14"/>
                <w:b w:val="1"/>
                <w:bCs w:val="1"/>
                <w:color w:val="auto"/>
                <w:w w:val="90"/>
              </w:rPr>
              <w:t>Nine months ended</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1"/>
              </w:rPr>
              <w:t>September 30,</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60" w:type="dxa"/>
            <w:vAlign w:val="bottom"/>
            <w:gridSpan w:val="2"/>
            <w:vMerge w:val="continue"/>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2021</w:t>
            </w:r>
          </w:p>
        </w:tc>
        <w:tc>
          <w:tcPr>
            <w:tcW w:w="15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14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Performance awards</w:t>
            </w:r>
          </w:p>
        </w:tc>
        <w:tc>
          <w:tcPr>
            <w:tcW w:w="880" w:type="dxa"/>
            <w:vAlign w:val="bottom"/>
            <w:shd w:val="clear" w:color="auto" w:fill="CCEEFF"/>
          </w:tcPr>
          <w:p>
            <w:pPr>
              <w:spacing w:after="0"/>
              <w:rPr>
                <w:sz w:val="23"/>
                <w:szCs w:val="23"/>
                <w:color w:val="auto"/>
              </w:rPr>
            </w:pPr>
          </w:p>
        </w:tc>
        <w:tc>
          <w:tcPr>
            <w:tcW w:w="1520" w:type="dxa"/>
            <w:vAlign w:val="bottom"/>
            <w:gridSpan w:val="3"/>
            <w:shd w:val="clear" w:color="auto" w:fill="CCEEFF"/>
          </w:tcPr>
          <w:p>
            <w:pPr>
              <w:jc w:val="right"/>
              <w:ind w:right="1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the accompanying unaudited consolidated financial statements and with our Annual Report on Form 10-K for the year ended December 31, 2020 (the “2020 Annual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herein under the captions “Cautionary Statement Concerning Forward-Looking Statements and Information” and “Risk Factors,” as well as in the 2020 Annual Report. We assume no obligation to update any of these forward-looking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Outlook</w:t>
      </w:r>
    </w:p>
    <w:p>
      <w:pPr>
        <w:spacing w:after="0" w:line="189"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We are a holding company of specialty electrical construction service providers that was established through the merger of long-standing specialty contractors. Through our subsidiaries, we serve the electric utility infrastructure, commercial and industrial construction markets. We manage and report our operations through two electrical contracting service segments: Transmission and Distribution (“T&amp;D”) and Commercial and Industrial (“C&amp;I”).</w:t>
      </w:r>
    </w:p>
    <w:p>
      <w:pPr>
        <w:spacing w:after="0" w:line="122" w:lineRule="exact"/>
        <w:rPr>
          <w:sz w:val="20"/>
          <w:szCs w:val="20"/>
          <w:color w:val="auto"/>
        </w:rPr>
      </w:pPr>
    </w:p>
    <w:p>
      <w:pPr>
        <w:jc w:val="both"/>
        <w:ind w:right="100" w:firstLine="648"/>
        <w:spacing w:after="0" w:line="301" w:lineRule="auto"/>
        <w:rPr>
          <w:sz w:val="20"/>
          <w:szCs w:val="20"/>
          <w:color w:val="auto"/>
        </w:rPr>
      </w:pPr>
      <w:r>
        <w:rPr>
          <w:rFonts w:ascii="Arial" w:cs="Arial" w:eastAsia="Arial" w:hAnsi="Arial"/>
          <w:sz w:val="16"/>
          <w:szCs w:val="16"/>
          <w:color w:val="auto"/>
        </w:rPr>
        <w:t>We have operated in the transmission and distribution industry since 1891. We are one of the largest U.S. contractors servicing the T&amp;D sector of the electric utility industry and provide T&amp;D services throughout the United States and western Canada. Our T&amp;D customers include many of the leading companies in the electric utility industry. We have also provided electrical contracting services for commercial and industrial construction since 1912. Our C&amp;I segment provides services in the United States and in western Canada. Our C&amp;I customers include facility owners and general contractors.</w:t>
      </w:r>
    </w:p>
    <w:p>
      <w:pPr>
        <w:spacing w:after="0" w:line="11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believe that we have a number of competitive advantages in both of our segments, including our skilled workforce, extensive centralized fleet, proven safety performance and reputation for timely completion of quality work that allows us to compete favorably in our markets. In addition, we believe that we are better capitalized than some of our competitors, which provides us with valuable flexibility to take on additional and more complex projects.</w:t>
      </w:r>
    </w:p>
    <w:p>
      <w:pPr>
        <w:spacing w:after="0" w:line="108"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We believe proposed legislative actions aimed at supporting infrastructure improvements in the United States may positively impact long-term demand, particularly in connection with electric power infrastructure, transportation and renewable energy spending. We believe the proposed legislative actions are likely to provide greater long-term opportunity in both of our reporting segments. However both of our segments and supporting operations may be subject to delays and pricing volatility due to the continued market disruption from the COVID-19 pandemic and regulatory slowdowns. These delays and pricing volatility could result in decelerations in project opportunities and awards.</w:t>
      </w:r>
    </w:p>
    <w:p>
      <w:pPr>
        <w:spacing w:after="0" w:line="162" w:lineRule="exact"/>
        <w:rPr>
          <w:sz w:val="20"/>
          <w:szCs w:val="20"/>
          <w:color w:val="auto"/>
        </w:rPr>
      </w:pPr>
    </w:p>
    <w:p>
      <w:pPr>
        <w:ind w:right="40" w:firstLine="648"/>
        <w:spacing w:after="0" w:line="227" w:lineRule="auto"/>
        <w:rPr>
          <w:sz w:val="20"/>
          <w:szCs w:val="20"/>
          <w:color w:val="auto"/>
        </w:rPr>
      </w:pPr>
      <w:r>
        <w:rPr>
          <w:rFonts w:ascii="Arial" w:cs="Arial" w:eastAsia="Arial" w:hAnsi="Arial"/>
          <w:sz w:val="18"/>
          <w:szCs w:val="18"/>
          <w:color w:val="auto"/>
        </w:rPr>
        <w:t>We had consolidated revenues for the nine months ended September 30, 2021 of $1.85 billion, of which 51.2% was attributable to our T&amp;D customers and 48.8% was attributable to our C&amp;I customers. Our consolidated revenues for the nine months ended September 30, 2020 were $1.64 billion. For the nine months ended September 30, 2021, our net income and EBITDA</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were $64.3 million and $122.8 million, respectively, compared to $40.6 million and $95.2 million, respectively, for the nine months ended September 30, 2020.</w:t>
      </w:r>
    </w:p>
    <w:p>
      <w:pPr>
        <w:spacing w:after="0" w:line="148" w:lineRule="exact"/>
        <w:rPr>
          <w:sz w:val="20"/>
          <w:szCs w:val="20"/>
          <w:color w:val="auto"/>
        </w:rPr>
      </w:pPr>
    </w:p>
    <w:p>
      <w:pPr>
        <w:ind w:right="40" w:firstLine="648"/>
        <w:spacing w:after="0" w:line="257" w:lineRule="auto"/>
        <w:rPr>
          <w:sz w:val="20"/>
          <w:szCs w:val="20"/>
          <w:color w:val="auto"/>
        </w:rPr>
      </w:pPr>
      <w:r>
        <w:rPr>
          <w:rFonts w:ascii="Arial" w:cs="Arial" w:eastAsia="Arial" w:hAnsi="Arial"/>
          <w:sz w:val="17"/>
          <w:szCs w:val="17"/>
          <w:color w:val="auto"/>
        </w:rPr>
        <w:t>We believe there is an ongoing need for utilities to sustain investment in their transmission systems to improve reliability, reduce congestion and connect to new sources of renewable generation. Consequently, we anticipate that we will continue to see significant bidding activity on large transmission projects going forward. The timing of multi-year transmission project awards and substantial construction activity is difficult to predict due to regulatory requirements and the permitting needed to commence construction. Significant construction on any large, multi-year projects awarded in the remainder of 2021 will not likely begin until 2022. Bidding and construction activity for small to medium-size transmission projects and upgrades remain active, and we expect this trend to continue, primarily due to reliability and economic drivers.</w:t>
      </w:r>
    </w:p>
    <w:p>
      <w:pPr>
        <w:spacing w:after="0" w:line="135"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As a result of reduced spending by United States utilities on their distribution systems for several years, we believe there is a need for sustained investment by utilities in their distribution systems to properly maintain or meet reliability requirements. We continue to see increased bidding activity in some of our electric distribution markets, as economic conditions improved in those areas. We believe the increased hurricane activity and destruction caused by wildfires will cause a push to strengthen utility distribution systems against catastrophic damage. Several industry and market trends are also prompting customers in the electric utility industry to seek outsourcing partners rather than performing projects internally. These trends include an aging electric utility workforce, increasing costs and staffing constraints. We believe electric utility employee retirements could increase with further economic recovery, which may result in an increase in outsourcing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17145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21" w:lineRule="exact"/>
        <w:rPr>
          <w:sz w:val="20"/>
          <w:szCs w:val="20"/>
          <w:color w:val="auto"/>
        </w:rPr>
      </w:pPr>
    </w:p>
    <w:p>
      <w:pPr>
        <w:ind w:left="180" w:hanging="172"/>
        <w:spacing w:after="0"/>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EBITDA is a non-GAAP measure. Refer to “Non-GAAP Measure—EBITDA” for a discussion of this measure.</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66" w:lineRule="exact"/>
        <w:rPr>
          <w:rFonts w:ascii="Arial" w:cs="Arial" w:eastAsia="Arial" w:hAnsi="Arial"/>
          <w:sz w:val="21"/>
          <w:szCs w:val="21"/>
          <w:color w:val="auto"/>
          <w:vertAlign w:val="superscript"/>
        </w:rPr>
      </w:pPr>
    </w:p>
    <w:p>
      <w:pPr>
        <w:ind w:left="5540"/>
        <w:spacing w:after="0"/>
        <w:rPr>
          <w:rFonts w:ascii="Arial" w:cs="Arial" w:eastAsia="Arial" w:hAnsi="Arial"/>
          <w:sz w:val="21"/>
          <w:szCs w:val="21"/>
          <w:color w:val="auto"/>
          <w:vertAlign w:val="superscript"/>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We expect C&amp;I bidding opportunities to continue to be impacted by various recent market disruptions, and as a result the ultimate recovery of the C&amp;I market will be heavily dependent on the timing and pace of the United States and Canada economic recoveries. We believe that the primary markets we serve may be somewhat less vulnerable to economic slowing, such as health care, transportation, data centers, warehousing, renewable energy and water projects. We are hopeful that the service industry and small project market could quickly rebound as pent-up demand will need to be addressed.</w:t>
      </w:r>
    </w:p>
    <w:p>
      <w:pPr>
        <w:spacing w:after="0" w:line="13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addition, the United States has experienced a decade of economic expansion which has challenged the capacity of public water and transportation infrastructure forcing states and municipalities to seek creative means to fund needed expansion. We believe the need for expanding public infrastructure will offer opportunity in our C&amp;I segment for several years. We expect the long-term growth in our C&amp;I segment to generally track the economic growth of the regions we serve.</w:t>
      </w:r>
    </w:p>
    <w:p>
      <w:pPr>
        <w:spacing w:after="0" w:line="14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strive to maintain our status as a preferred provider to our T&amp;D and C&amp;I customers. In an effort to support our growth strategy and maximize stockholder returns, we seek to efficiently manage our capital. We continue to implement strategies that further expand our capabilities and allow opportunities to provide prudent capital returns. We ended the third quarter of 2021 with $362.7 million available under our credit facility. We continue to manage our increasing costs for supporting our operations, including increasing insurance, equipment, labor and material costs. We believe that our financial position, positive cash flows and other operational strengths will enable us to manage the challenges and uncertainties in the markets we serve and give us the flexibility to successfully execute our strategies. We continue to invest in developing key management and craft personnel in both our T&amp;D and C&amp;I markets and in procuring the specific specialty equipment and tooling needed to win and execute projects of all sizes and complexity.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We refer to our estimated revenue on uncompleted contracts, including the amount of revenue on contracts for which work has not begun, less the revenue we have recognized under such contracts, as “backlog.” A customer’s intention to award us work under a fixed-price contract is not included in backlog unless there is an actual written award to perform a specific scope of work at specific terms and pricing. For many of our unit-price, time-and-equipment, time-and-materials and cost plus contracts, we only include projected revenue for a three-month period in the calculation of backlog, although these types of contracts are generally awarded as part of master service agreements that typically have a one-year to three-year duration from execution. Backlog may not accurately represent the revenues that we expect to realize during any particular period. Several factors, such as the timing of contract awards, the type and duration of contracts, and the mix of subcontractor and material costs in our projects, can impact our backlog at any point in time. Some of our revenue does not appear in our periodic backlog reporting because the award of the project, as well as the execution of the work, may all take place within the period. Our backlog includes projects that have a written award, a letter of intent, a notice to proceed or an agreed upon work order to perform work on mutually accepted terms and conditions. Backlog should not be relied upon as a stand-alone indicator of future events.</w:t>
      </w:r>
    </w:p>
    <w:p>
      <w:pPr>
        <w:spacing w:after="0" w:line="16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difference between our backlog and remaining performance obligations is due to the exclusion of a portion of our master service agreements under certain contract types from our remaining performance obligations as these contracts can be canceled for convenience at any time by us or the customer without considerable cost incurred by the customer. Our estimated backlog also includes our proportionate share of unconsolidated joint venture contracts. Additional information related to our remaining performance obligations is provided in Note 6–Revenue Recognition in the accompanying notes to our Consolidated Financial Statements.</w:t>
      </w:r>
    </w:p>
    <w:p>
      <w:pPr>
        <w:spacing w:after="0" w:line="188"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Our backlog was $1.63 billion at September 30, 2021, compared to $1.65 billion at December 31, 2020 and $1.72 billion at September 30, 2020. Our backlog at September 30, 2021 increased 4.3% from June 30, 2021. Backlog in the T&amp;D segment increased $17.1 million and C&amp;I backlog increased $49.7 million compared to June 30, 2021. Our backlog as of September 30, 2021 included our proportionate share of joint venture backlog totaling $10.2 million, compared to $15.2 million at June 30, 2021.</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following table summarizes that amount of our backlog that we believe to be firm as of the dates shown and the amount of our current backlog that we reasonably estimate will not be recognized within the next twelve months: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40" w:type="dxa"/>
            <w:vAlign w:val="bottom"/>
            <w:gridSpan w:val="5"/>
          </w:tcPr>
          <w:p>
            <w:pPr>
              <w:ind w:left="680"/>
              <w:spacing w:after="0"/>
              <w:rPr>
                <w:sz w:val="20"/>
                <w:szCs w:val="20"/>
                <w:color w:val="auto"/>
              </w:rPr>
            </w:pPr>
            <w:r>
              <w:rPr>
                <w:rFonts w:ascii="Arial" w:cs="Arial" w:eastAsia="Arial" w:hAnsi="Arial"/>
                <w:sz w:val="14"/>
                <w:szCs w:val="14"/>
                <w:b w:val="1"/>
                <w:bCs w:val="1"/>
                <w:color w:val="auto"/>
              </w:rPr>
              <w:t>Backlog at September 30, 2021</w:t>
            </w: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top w:val="single" w:sz="8" w:color="auto"/>
            </w:tcBorders>
          </w:tcPr>
          <w:p>
            <w:pPr>
              <w:spacing w:after="0"/>
              <w:rPr>
                <w:sz w:val="11"/>
                <w:szCs w:val="11"/>
                <w:color w:val="auto"/>
              </w:rPr>
            </w:pPr>
          </w:p>
        </w:tc>
        <w:tc>
          <w:tcPr>
            <w:tcW w:w="2260" w:type="dxa"/>
            <w:vAlign w:val="bottom"/>
            <w:tcBorders>
              <w:top w:val="single" w:sz="8" w:color="auto"/>
            </w:tcBorders>
          </w:tcPr>
          <w:p>
            <w:pPr>
              <w:jc w:val="center"/>
              <w:ind w:right="97"/>
              <w:spacing w:after="0" w:line="135" w:lineRule="exact"/>
              <w:rPr>
                <w:sz w:val="20"/>
                <w:szCs w:val="20"/>
                <w:color w:val="auto"/>
              </w:rPr>
            </w:pPr>
            <w:r>
              <w:rPr>
                <w:rFonts w:ascii="Arial" w:cs="Arial" w:eastAsia="Arial" w:hAnsi="Arial"/>
                <w:sz w:val="14"/>
                <w:szCs w:val="14"/>
                <w:b w:val="1"/>
                <w:bCs w:val="1"/>
                <w:color w:val="auto"/>
                <w:w w:val="92"/>
              </w:rPr>
              <w:t>Amount estimated to not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jc w:val="right"/>
              <w:ind w:right="217"/>
              <w:spacing w:after="0" w:line="135" w:lineRule="exact"/>
              <w:rPr>
                <w:sz w:val="20"/>
                <w:szCs w:val="20"/>
                <w:color w:val="auto"/>
              </w:rPr>
            </w:pPr>
            <w:r>
              <w:rPr>
                <w:rFonts w:ascii="Arial" w:cs="Arial" w:eastAsia="Arial" w:hAnsi="Arial"/>
                <w:sz w:val="14"/>
                <w:szCs w:val="14"/>
                <w:b w:val="1"/>
                <w:bCs w:val="1"/>
                <w:color w:val="auto"/>
              </w:rPr>
              <w:t>Total backlog at</w:t>
            </w:r>
          </w:p>
        </w:tc>
        <w:tc>
          <w:tcPr>
            <w:tcW w:w="0" w:type="dxa"/>
            <w:vAlign w:val="bottom"/>
          </w:tcPr>
          <w:p>
            <w:pPr>
              <w:spacing w:after="0"/>
              <w:rPr>
                <w:sz w:val="1"/>
                <w:szCs w:val="1"/>
                <w:color w:val="auto"/>
              </w:rPr>
            </w:pPr>
          </w:p>
        </w:tc>
      </w:tr>
      <w:tr>
        <w:trPr>
          <w:trHeight w:val="188"/>
        </w:trPr>
        <w:tc>
          <w:tcPr>
            <w:tcW w:w="57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be recognized within 12 months</w:t>
            </w:r>
          </w:p>
        </w:tc>
        <w:tc>
          <w:tcPr>
            <w:tcW w:w="160" w:type="dxa"/>
            <w:vAlign w:val="bottom"/>
          </w:tcPr>
          <w:p>
            <w:pPr>
              <w:spacing w:after="0"/>
              <w:rPr>
                <w:sz w:val="16"/>
                <w:szCs w:val="16"/>
                <w:color w:val="auto"/>
              </w:rPr>
            </w:pPr>
          </w:p>
        </w:tc>
        <w:tc>
          <w:tcPr>
            <w:tcW w:w="1420" w:type="dxa"/>
            <w:vAlign w:val="bottom"/>
          </w:tcPr>
          <w:p>
            <w:pPr>
              <w:jc w:val="right"/>
              <w:ind w:right="117"/>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97"/>
        </w:trPr>
        <w:tc>
          <w:tcPr>
            <w:tcW w:w="5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T&amp;D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753,932</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rPr>
              <w:t>C&amp;I</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981,261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207,990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895,524</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1,633,479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1,649,456</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 Bonding Requirements and Parent Guarantees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 substantial portion of our business requires performance and payment bonds or other means of financial assurance to secure contractual performance. These bonds are typically issued at the face value of the contract awarded. If we fail to perform or pay our subcontractors or vendors, the customer may demand that the surety provide services or make payments under the bond. In such a case, we would likely be required to reimburse the surety for any expenses or outlays it incurs. To date, we have not been required to make any reimbursements to our sureties for claims against our surety bonds. As of September 30, 2021, we had approximately $1.28 billion in original face amount of surety bonds outstanding. Our estimated remaining cost to complete these bonded projects was approximately $531.5 million as of September 30, 2021.</w:t>
      </w:r>
    </w:p>
    <w:p>
      <w:pPr>
        <w:spacing w:after="0" w:line="17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From time to time, we guarantee the obligations of our wholly 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 owned subsidiaries, which reduces the borrowing availability under our credit facility.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following table sets forth selected consolidated statements of operations data and such data as a percentage of revenues for the periods indicated: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6"/>
          </w:tcPr>
          <w:p>
            <w:pPr>
              <w:jc w:val="center"/>
              <w:ind w:right="380"/>
              <w:spacing w:after="0"/>
              <w:rPr>
                <w:sz w:val="20"/>
                <w:szCs w:val="20"/>
                <w:color w:val="auto"/>
              </w:rPr>
            </w:pPr>
            <w:r>
              <w:rPr>
                <w:rFonts w:ascii="Arial" w:cs="Arial" w:eastAsia="Arial" w:hAnsi="Arial"/>
                <w:sz w:val="13"/>
                <w:szCs w:val="13"/>
                <w:b w:val="1"/>
                <w:bCs w:val="1"/>
                <w:color w:val="auto"/>
                <w:w w:val="85"/>
              </w:rPr>
              <w:t>Three months ended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gridSpan w:val="6"/>
          </w:tcPr>
          <w:p>
            <w:pPr>
              <w:jc w:val="center"/>
              <w:ind w:right="400"/>
              <w:spacing w:after="0"/>
              <w:rPr>
                <w:sz w:val="20"/>
                <w:szCs w:val="20"/>
                <w:color w:val="auto"/>
              </w:rPr>
            </w:pPr>
            <w:r>
              <w:rPr>
                <w:rFonts w:ascii="Arial" w:cs="Arial" w:eastAsia="Arial" w:hAnsi="Arial"/>
                <w:sz w:val="13"/>
                <w:szCs w:val="13"/>
                <w:b w:val="1"/>
                <w:bCs w:val="1"/>
                <w:color w:val="auto"/>
                <w:w w:val="86"/>
              </w:rPr>
              <w:t>Nine months ended</w:t>
            </w:r>
          </w:p>
        </w:tc>
        <w:tc>
          <w:tcPr>
            <w:tcW w:w="740" w:type="dxa"/>
            <w:vAlign w:val="bottom"/>
          </w:tcPr>
          <w:p>
            <w:pPr>
              <w:spacing w:after="0"/>
              <w:rPr>
                <w:sz w:val="12"/>
                <w:szCs w:val="12"/>
                <w:color w:val="auto"/>
              </w:rPr>
            </w:pPr>
          </w:p>
        </w:tc>
      </w:tr>
      <w:tr>
        <w:trPr>
          <w:trHeight w:val="164"/>
        </w:trPr>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6"/>
          </w:tcPr>
          <w:p>
            <w:pPr>
              <w:jc w:val="center"/>
              <w:ind w:right="380"/>
              <w:spacing w:after="0"/>
              <w:rPr>
                <w:sz w:val="20"/>
                <w:szCs w:val="20"/>
                <w:color w:val="auto"/>
              </w:rPr>
            </w:pPr>
            <w:r>
              <w:rPr>
                <w:rFonts w:ascii="Arial" w:cs="Arial" w:eastAsia="Arial" w:hAnsi="Arial"/>
                <w:sz w:val="13"/>
                <w:szCs w:val="13"/>
                <w:b w:val="1"/>
                <w:bCs w:val="1"/>
                <w:color w:val="auto"/>
                <w:w w:val="87"/>
              </w:rPr>
              <w:t>September 30,</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6"/>
          </w:tcPr>
          <w:p>
            <w:pPr>
              <w:jc w:val="center"/>
              <w:ind w:right="400"/>
              <w:spacing w:after="0"/>
              <w:rPr>
                <w:sz w:val="20"/>
                <w:szCs w:val="20"/>
                <w:color w:val="auto"/>
              </w:rPr>
            </w:pPr>
            <w:r>
              <w:rPr>
                <w:rFonts w:ascii="Arial" w:cs="Arial" w:eastAsia="Arial" w:hAnsi="Arial"/>
                <w:sz w:val="13"/>
                <w:szCs w:val="13"/>
                <w:b w:val="1"/>
                <w:bCs w:val="1"/>
                <w:color w:val="auto"/>
                <w:w w:val="85"/>
              </w:rPr>
              <w:t>September 30,</w:t>
            </w:r>
          </w:p>
        </w:tc>
        <w:tc>
          <w:tcPr>
            <w:tcW w:w="740" w:type="dxa"/>
            <w:vAlign w:val="bottom"/>
          </w:tcPr>
          <w:p>
            <w:pPr>
              <w:spacing w:after="0"/>
              <w:rPr>
                <w:sz w:val="14"/>
                <w:szCs w:val="14"/>
                <w:color w:val="auto"/>
              </w:rPr>
            </w:pPr>
          </w:p>
        </w:tc>
      </w:tr>
      <w:tr>
        <w:trPr>
          <w:trHeight w:val="30"/>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66"/>
        </w:trPr>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2021</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2020</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2021</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2020</w:t>
            </w:r>
          </w:p>
        </w:tc>
        <w:tc>
          <w:tcPr>
            <w:tcW w:w="740" w:type="dxa"/>
            <w:vAlign w:val="bottom"/>
          </w:tcPr>
          <w:p>
            <w:pPr>
              <w:spacing w:after="0"/>
              <w:rPr>
                <w:sz w:val="14"/>
                <w:szCs w:val="14"/>
                <w:color w:val="auto"/>
              </w:rPr>
            </w:pPr>
          </w:p>
        </w:tc>
      </w:tr>
      <w:tr>
        <w:trPr>
          <w:trHeight w:val="30"/>
        </w:trPr>
        <w:tc>
          <w:tcPr>
            <w:tcW w:w="344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67"/>
        </w:trPr>
        <w:tc>
          <w:tcPr>
            <w:tcW w:w="3440" w:type="dxa"/>
            <w:vAlign w:val="bottom"/>
            <w:gridSpan w:val="2"/>
          </w:tcPr>
          <w:p>
            <w:pPr>
              <w:ind w:left="20"/>
              <w:spacing w:after="0"/>
              <w:rPr>
                <w:sz w:val="20"/>
                <w:szCs w:val="20"/>
                <w:color w:val="auto"/>
              </w:rPr>
            </w:pPr>
            <w:r>
              <w:rPr>
                <w:rFonts w:ascii="Arial" w:cs="Arial" w:eastAsia="Arial" w:hAnsi="Arial"/>
                <w:sz w:val="13"/>
                <w:szCs w:val="13"/>
                <w:b w:val="1"/>
                <w:bCs w:val="1"/>
                <w:color w:val="auto"/>
              </w:rPr>
              <w:t>(dollars in thousands)</w:t>
            </w:r>
          </w:p>
        </w:tc>
        <w:tc>
          <w:tcPr>
            <w:tcW w:w="140" w:type="dxa"/>
            <w:vAlign w:val="bottom"/>
          </w:tcPr>
          <w:p>
            <w:pPr>
              <w:spacing w:after="0"/>
              <w:rPr>
                <w:sz w:val="14"/>
                <w:szCs w:val="14"/>
                <w:color w:val="auto"/>
              </w:rPr>
            </w:pPr>
          </w:p>
        </w:tc>
        <w:tc>
          <w:tcPr>
            <w:tcW w:w="980" w:type="dxa"/>
            <w:vAlign w:val="bottom"/>
            <w:gridSpan w:val="3"/>
          </w:tcPr>
          <w:p>
            <w:pPr>
              <w:jc w:val="right"/>
              <w:ind w:right="500"/>
              <w:spacing w:after="0"/>
              <w:rPr>
                <w:sz w:val="20"/>
                <w:szCs w:val="20"/>
                <w:color w:val="auto"/>
              </w:rPr>
            </w:pPr>
            <w:r>
              <w:rPr>
                <w:rFonts w:ascii="Arial" w:cs="Arial" w:eastAsia="Arial" w:hAnsi="Arial"/>
                <w:sz w:val="13"/>
                <w:szCs w:val="13"/>
                <w:b w:val="1"/>
                <w:bCs w:val="1"/>
                <w:color w:val="auto"/>
                <w:w w:val="93"/>
              </w:rPr>
              <w:t>Amount</w:t>
            </w:r>
          </w:p>
        </w:tc>
        <w:tc>
          <w:tcPr>
            <w:tcW w:w="840" w:type="dxa"/>
            <w:vAlign w:val="bottom"/>
            <w:gridSpan w:val="2"/>
          </w:tcPr>
          <w:p>
            <w:pPr>
              <w:ind w:left="60"/>
              <w:spacing w:after="0"/>
              <w:rPr>
                <w:sz w:val="20"/>
                <w:szCs w:val="20"/>
                <w:color w:val="auto"/>
              </w:rPr>
            </w:pPr>
            <w:r>
              <w:rPr>
                <w:rFonts w:ascii="Arial" w:cs="Arial" w:eastAsia="Arial" w:hAnsi="Arial"/>
                <w:sz w:val="13"/>
                <w:szCs w:val="13"/>
                <w:b w:val="1"/>
                <w:bCs w:val="1"/>
                <w:color w:val="auto"/>
              </w:rPr>
              <w:t>Percent</w:t>
            </w:r>
          </w:p>
        </w:tc>
        <w:tc>
          <w:tcPr>
            <w:tcW w:w="140" w:type="dxa"/>
            <w:vAlign w:val="bottom"/>
          </w:tcPr>
          <w:p>
            <w:pPr>
              <w:spacing w:after="0"/>
              <w:rPr>
                <w:sz w:val="14"/>
                <w:szCs w:val="14"/>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3"/>
                <w:szCs w:val="13"/>
                <w:b w:val="1"/>
                <w:bCs w:val="1"/>
                <w:color w:val="auto"/>
                <w:w w:val="97"/>
              </w:rPr>
              <w:t>Amount</w:t>
            </w:r>
          </w:p>
        </w:tc>
        <w:tc>
          <w:tcPr>
            <w:tcW w:w="840" w:type="dxa"/>
            <w:vAlign w:val="bottom"/>
            <w:gridSpan w:val="2"/>
          </w:tcPr>
          <w:p>
            <w:pPr>
              <w:ind w:left="80"/>
              <w:spacing w:after="0"/>
              <w:rPr>
                <w:sz w:val="20"/>
                <w:szCs w:val="20"/>
                <w:color w:val="auto"/>
              </w:rPr>
            </w:pPr>
            <w:r>
              <w:rPr>
                <w:rFonts w:ascii="Arial" w:cs="Arial" w:eastAsia="Arial" w:hAnsi="Arial"/>
                <w:sz w:val="13"/>
                <w:szCs w:val="13"/>
                <w:b w:val="1"/>
                <w:bCs w:val="1"/>
                <w:color w:val="auto"/>
              </w:rPr>
              <w:t>Percent</w:t>
            </w:r>
          </w:p>
        </w:tc>
        <w:tc>
          <w:tcPr>
            <w:tcW w:w="140" w:type="dxa"/>
            <w:vAlign w:val="bottom"/>
          </w:tcPr>
          <w:p>
            <w:pPr>
              <w:spacing w:after="0"/>
              <w:rPr>
                <w:sz w:val="14"/>
                <w:szCs w:val="14"/>
                <w:color w:val="auto"/>
              </w:rPr>
            </w:pPr>
          </w:p>
        </w:tc>
        <w:tc>
          <w:tcPr>
            <w:tcW w:w="1000" w:type="dxa"/>
            <w:vAlign w:val="bottom"/>
            <w:gridSpan w:val="3"/>
          </w:tcPr>
          <w:p>
            <w:pPr>
              <w:jc w:val="right"/>
              <w:ind w:right="480"/>
              <w:spacing w:after="0"/>
              <w:rPr>
                <w:sz w:val="20"/>
                <w:szCs w:val="20"/>
                <w:color w:val="auto"/>
              </w:rPr>
            </w:pPr>
            <w:r>
              <w:rPr>
                <w:rFonts w:ascii="Arial" w:cs="Arial" w:eastAsia="Arial" w:hAnsi="Arial"/>
                <w:sz w:val="13"/>
                <w:szCs w:val="13"/>
                <w:b w:val="1"/>
                <w:bCs w:val="1"/>
                <w:color w:val="auto"/>
              </w:rPr>
              <w:t>Amount</w:t>
            </w:r>
          </w:p>
        </w:tc>
        <w:tc>
          <w:tcPr>
            <w:tcW w:w="840" w:type="dxa"/>
            <w:vAlign w:val="bottom"/>
            <w:gridSpan w:val="2"/>
          </w:tcPr>
          <w:p>
            <w:pPr>
              <w:ind w:left="80"/>
              <w:spacing w:after="0"/>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4"/>
                <w:szCs w:val="14"/>
                <w:color w:val="auto"/>
              </w:rPr>
            </w:pPr>
          </w:p>
        </w:tc>
        <w:tc>
          <w:tcPr>
            <w:tcW w:w="1000" w:type="dxa"/>
            <w:vAlign w:val="bottom"/>
            <w:gridSpan w:val="3"/>
          </w:tcPr>
          <w:p>
            <w:pPr>
              <w:jc w:val="right"/>
              <w:ind w:right="500"/>
              <w:spacing w:after="0"/>
              <w:rPr>
                <w:sz w:val="20"/>
                <w:szCs w:val="20"/>
                <w:color w:val="auto"/>
              </w:rPr>
            </w:pPr>
            <w:r>
              <w:rPr>
                <w:rFonts w:ascii="Arial" w:cs="Arial" w:eastAsia="Arial" w:hAnsi="Arial"/>
                <w:sz w:val="13"/>
                <w:szCs w:val="13"/>
                <w:b w:val="1"/>
                <w:bCs w:val="1"/>
                <w:color w:val="auto"/>
                <w:w w:val="97"/>
              </w:rPr>
              <w:t>Amount</w:t>
            </w:r>
          </w:p>
        </w:tc>
        <w:tc>
          <w:tcPr>
            <w:tcW w:w="740" w:type="dxa"/>
            <w:vAlign w:val="bottom"/>
          </w:tcPr>
          <w:p>
            <w:pPr>
              <w:jc w:val="right"/>
              <w:ind w:right="197"/>
              <w:spacing w:after="0"/>
              <w:rPr>
                <w:sz w:val="20"/>
                <w:szCs w:val="20"/>
                <w:color w:val="auto"/>
              </w:rPr>
            </w:pPr>
            <w:r>
              <w:rPr>
                <w:rFonts w:ascii="Arial" w:cs="Arial" w:eastAsia="Arial" w:hAnsi="Arial"/>
                <w:sz w:val="13"/>
                <w:szCs w:val="13"/>
                <w:b w:val="1"/>
                <w:bCs w:val="1"/>
                <w:color w:val="auto"/>
                <w:w w:val="96"/>
              </w:rPr>
              <w:t>Percent</w:t>
            </w:r>
          </w:p>
        </w:tc>
      </w:tr>
      <w:tr>
        <w:trPr>
          <w:trHeight w:val="30"/>
        </w:trPr>
        <w:tc>
          <w:tcPr>
            <w:tcW w:w="3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83"/>
        </w:trPr>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3"/>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Contract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610,182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100.0 %</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607,901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1,852,241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1,639,422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100.0 %</w:t>
            </w:r>
          </w:p>
        </w:tc>
      </w:tr>
      <w:tr>
        <w:trPr>
          <w:trHeight w:val="173"/>
        </w:trPr>
        <w:tc>
          <w:tcPr>
            <w:tcW w:w="3440" w:type="dxa"/>
            <w:vAlign w:val="bottom"/>
            <w:gridSpan w:val="2"/>
          </w:tcPr>
          <w:p>
            <w:pPr>
              <w:ind w:left="20"/>
              <w:spacing w:after="0"/>
              <w:rPr>
                <w:sz w:val="20"/>
                <w:szCs w:val="20"/>
                <w:color w:val="auto"/>
              </w:rPr>
            </w:pPr>
            <w:r>
              <w:rPr>
                <w:rFonts w:ascii="Arial" w:cs="Arial" w:eastAsia="Arial" w:hAnsi="Arial"/>
                <w:sz w:val="13"/>
                <w:szCs w:val="13"/>
                <w:color w:val="auto"/>
              </w:rPr>
              <w:t>Contract costs</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526,259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86.2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531,429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87.4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1,610,343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86.9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1,440,013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87.8</w:t>
            </w:r>
          </w:p>
        </w:tc>
      </w:tr>
      <w:tr>
        <w:trPr>
          <w:trHeight w:val="30"/>
        </w:trPr>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76"/>
        </w:trPr>
        <w:tc>
          <w:tcPr>
            <w:tcW w:w="34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3"/>
                <w:szCs w:val="13"/>
                <w:color w:val="auto"/>
              </w:rPr>
              <w:t>Gross profit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83,923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13.8</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76,472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12.6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241,898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13.1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199,409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12.2</w:t>
            </w:r>
          </w:p>
        </w:tc>
      </w:tr>
      <w:tr>
        <w:trPr>
          <w:trHeight w:val="173"/>
        </w:trPr>
        <w:tc>
          <w:tcPr>
            <w:tcW w:w="3440" w:type="dxa"/>
            <w:vAlign w:val="bottom"/>
            <w:gridSpan w:val="2"/>
          </w:tcPr>
          <w:p>
            <w:pPr>
              <w:ind w:left="20"/>
              <w:spacing w:after="0"/>
              <w:rPr>
                <w:sz w:val="20"/>
                <w:szCs w:val="20"/>
                <w:color w:val="auto"/>
              </w:rPr>
            </w:pPr>
            <w:r>
              <w:rPr>
                <w:rFonts w:ascii="Arial" w:cs="Arial" w:eastAsia="Arial" w:hAnsi="Arial"/>
                <w:sz w:val="13"/>
                <w:szCs w:val="13"/>
                <w:color w:val="auto"/>
              </w:rPr>
              <w:t>Selling, general and administrative expenses</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53,072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8.7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51,443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154,609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137,688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8.4</w:t>
            </w:r>
          </w:p>
        </w:tc>
      </w:tr>
      <w:tr>
        <w:trPr>
          <w:trHeight w:val="30"/>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83"/>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Amortization of intangible assets</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578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0.1</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578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0.1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1,734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0.1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3,009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0.2</w:t>
            </w:r>
          </w:p>
        </w:tc>
      </w:tr>
      <w:tr>
        <w:trPr>
          <w:trHeight w:val="173"/>
        </w:trPr>
        <w:tc>
          <w:tcPr>
            <w:tcW w:w="3440" w:type="dxa"/>
            <w:vAlign w:val="bottom"/>
            <w:gridSpan w:val="2"/>
          </w:tcPr>
          <w:p>
            <w:pPr>
              <w:ind w:left="40"/>
              <w:spacing w:after="0"/>
              <w:rPr>
                <w:sz w:val="20"/>
                <w:szCs w:val="20"/>
                <w:color w:val="auto"/>
              </w:rPr>
            </w:pPr>
            <w:r>
              <w:rPr>
                <w:rFonts w:ascii="Arial" w:cs="Arial" w:eastAsia="Arial" w:hAnsi="Arial"/>
                <w:sz w:val="13"/>
                <w:szCs w:val="13"/>
                <w:color w:val="auto"/>
              </w:rPr>
              <w:t>Gain on sale of property and equipment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(679)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(478)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(2,473)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(1,967)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(0.1)</w:t>
            </w:r>
          </w:p>
        </w:tc>
      </w:tr>
      <w:tr>
        <w:trPr>
          <w:trHeight w:val="30"/>
        </w:trPr>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76"/>
        </w:trPr>
        <w:tc>
          <w:tcPr>
            <w:tcW w:w="34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3"/>
                <w:szCs w:val="13"/>
                <w:color w:val="auto"/>
              </w:rPr>
              <w:t>Income from operations</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30,952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5.1</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24,929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4.1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88,028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4.8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60,679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3.7</w:t>
            </w:r>
          </w:p>
        </w:tc>
      </w:tr>
      <w:tr>
        <w:trPr>
          <w:trHeight w:val="173"/>
        </w:trPr>
        <w:tc>
          <w:tcPr>
            <w:tcW w:w="3440" w:type="dxa"/>
            <w:vAlign w:val="bottom"/>
            <w:gridSpan w:val="2"/>
          </w:tcPr>
          <w:p>
            <w:pPr>
              <w:ind w:left="20"/>
              <w:spacing w:after="0"/>
              <w:rPr>
                <w:sz w:val="20"/>
                <w:szCs w:val="20"/>
                <w:color w:val="auto"/>
              </w:rPr>
            </w:pPr>
            <w:r>
              <w:rPr>
                <w:rFonts w:ascii="Arial" w:cs="Arial" w:eastAsia="Arial" w:hAnsi="Arial"/>
                <w:sz w:val="13"/>
                <w:szCs w:val="13"/>
                <w:color w:val="auto"/>
              </w:rPr>
              <w:t>Other income (expense):</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0"/>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83"/>
        </w:trPr>
        <w:tc>
          <w:tcPr>
            <w:tcW w:w="3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Interest income</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r>
      <w:tr>
        <w:trPr>
          <w:trHeight w:val="173"/>
        </w:trPr>
        <w:tc>
          <w:tcPr>
            <w:tcW w:w="3440" w:type="dxa"/>
            <w:vAlign w:val="bottom"/>
            <w:gridSpan w:val="2"/>
          </w:tcPr>
          <w:p>
            <w:pPr>
              <w:ind w:left="140"/>
              <w:spacing w:after="0"/>
              <w:rPr>
                <w:sz w:val="20"/>
                <w:szCs w:val="20"/>
                <w:color w:val="auto"/>
              </w:rPr>
            </w:pPr>
            <w:r>
              <w:rPr>
                <w:rFonts w:ascii="Arial" w:cs="Arial" w:eastAsia="Arial" w:hAnsi="Arial"/>
                <w:sz w:val="13"/>
                <w:szCs w:val="13"/>
                <w:color w:val="auto"/>
              </w:rPr>
              <w:t>Interest expense</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(305)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(1,113)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(1,458)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(3,941)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(0.2)</w:t>
            </w:r>
          </w:p>
        </w:tc>
      </w:tr>
      <w:tr>
        <w:trPr>
          <w:trHeight w:val="30"/>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3"/>
        </w:trPr>
        <w:tc>
          <w:tcPr>
            <w:tcW w:w="3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Other income (expense), net</w:t>
            </w: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r>
      <w:tr>
        <w:trPr>
          <w:trHeight w:val="166"/>
        </w:trPr>
        <w:tc>
          <w:tcPr>
            <w:tcW w:w="3440" w:type="dxa"/>
            <w:vAlign w:val="bottom"/>
            <w:gridSpan w:val="2"/>
          </w:tcPr>
          <w:p>
            <w:pPr>
              <w:ind w:left="220"/>
              <w:spacing w:after="0"/>
              <w:rPr>
                <w:sz w:val="20"/>
                <w:szCs w:val="20"/>
                <w:color w:val="auto"/>
              </w:rPr>
            </w:pPr>
            <w:r>
              <w:rPr>
                <w:rFonts w:ascii="Arial" w:cs="Arial" w:eastAsia="Arial" w:hAnsi="Arial"/>
                <w:sz w:val="13"/>
                <w:szCs w:val="13"/>
                <w:color w:val="auto"/>
              </w:rPr>
              <w:t>Income before provision for income taxes</w:t>
            </w: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30,739</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23,834</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86,811</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56,188</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3.5</w:t>
            </w:r>
          </w:p>
        </w:tc>
      </w:tr>
      <w:tr>
        <w:trPr>
          <w:trHeight w:val="30"/>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3"/>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7,568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1.3</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6,542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1.1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22,493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15,579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1.0</w:t>
            </w:r>
          </w:p>
        </w:tc>
      </w:tr>
      <w:tr>
        <w:trPr>
          <w:trHeight w:val="195"/>
        </w:trPr>
        <w:tc>
          <w:tcPr>
            <w:tcW w:w="3440" w:type="dxa"/>
            <w:vAlign w:val="bottom"/>
            <w:gridSpan w:val="2"/>
          </w:tcPr>
          <w:p>
            <w:pPr>
              <w:ind w:left="20"/>
              <w:spacing w:after="0"/>
              <w:rPr>
                <w:sz w:val="20"/>
                <w:szCs w:val="20"/>
                <w:color w:val="auto"/>
              </w:rPr>
            </w:pPr>
            <w:r>
              <w:rPr>
                <w:rFonts w:ascii="Arial" w:cs="Arial" w:eastAsia="Arial" w:hAnsi="Arial"/>
                <w:sz w:val="13"/>
                <w:szCs w:val="13"/>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23,171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3.8 %</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17,292</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2.8 %</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64,318</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3.5 %</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40,609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2.5 %</w:t>
            </w:r>
          </w:p>
        </w:tc>
      </w:tr>
      <w:tr>
        <w:trPr>
          <w:trHeight w:val="22"/>
        </w:trPr>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2021 Compared to Three Months Ended September 30, 2020</w:t>
      </w:r>
    </w:p>
    <w:p>
      <w:pPr>
        <w:spacing w:after="0" w:line="22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were $610.2 million for the three months ended September 30, 2021 compared to $607.9 million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2020. The increase of $2.3 million, or 0.4%, was primarily due to an increase in revenue on distribution projects partially offset by a decrease in revenue on transmission projects and a decrease in volume on C&amp;I projects in certain geographic areas.</w:t>
      </w:r>
    </w:p>
    <w:p>
      <w:pPr>
        <w:spacing w:after="0" w:line="1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Gross margin was 13.8% for the three months ended September 30, 2021 compared to 12.6%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2020. The increase in gross margin was primarily due to better-than-anticipated productivity on certain projects, favorable job close-outs and favorable change orders on certain projects. These improvements were partially offset by labor and equipment inefficiencies on certain projects. Changes in estimates of gross profit on certain projects resulted in a gross margin increase of 1.4% and decrease of 0.3% for the three months ended September 30, 2021 and 2020, respectively.</w:t>
      </w:r>
    </w:p>
    <w:p>
      <w:pPr>
        <w:spacing w:after="0" w:line="13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was $83.9 million for the three months ended September 30, 2021 compared to $76.5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2020. The increase of $7.4 million, or 9.7%, was due to higher margins and revenues.</w:t>
      </w:r>
    </w:p>
    <w:p>
      <w:pPr>
        <w:spacing w:after="0" w:line="11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("SG&amp;A") were $53.1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2021 compared to $51.4 million for the three months ended September 30, 2020. The period-over-period increase of $1.7 million was primarily due to an increase in employee-related expenses to support the growth in our operations.</w:t>
      </w:r>
    </w:p>
    <w:p>
      <w:pPr>
        <w:spacing w:after="0" w:line="130"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i w:val="1"/>
          <w:iCs w:val="1"/>
          <w:color w:val="auto"/>
        </w:rPr>
        <w:t>Gain on sale of property and equipment</w:t>
      </w:r>
      <w:r>
        <w:rPr>
          <w:rFonts w:ascii="Arial" w:cs="Arial" w:eastAsia="Arial" w:hAnsi="Arial"/>
          <w:sz w:val="18"/>
          <w:szCs w:val="18"/>
          <w:color w:val="auto"/>
        </w:rPr>
        <w:t>. Gains from the sale of property and equipment for the three months ended September 30, 2021 were $0.7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to $0.5 million for the three months ended September 30, 2020. Gains from the sale of property and equipment are attributable to routine sales of property and equipment no longer useful or valuable to our ongoing operations.</w:t>
      </w:r>
    </w:p>
    <w:p>
      <w:pPr>
        <w:spacing w:after="0" w:line="13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was $0.3 million for the three months ended September 30, 2021 compared to $1.1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2020. The period-over-period decrease of $0.8 million was primarily due to the decrease in our outstanding debt during the three months ended September 30, 2021 as compared to the three months ended September 30, 2020, and prepayment penalties from early retirement of equipment notes during the three months ended September 30, 2020.</w:t>
      </w:r>
    </w:p>
    <w:p>
      <w:pPr>
        <w:spacing w:after="0" w:line="133"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was $7.6 million for the three months ended September 30, 2021, with an effective tax rate of 24.6%,</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expense of $6.5 million for the three months ended September 30, 2020, with an effective tax rate of 27.4%. The decrease in the tax rate for the three months ended September 30, 2021 was primarily due to the reduction of the impact of the global intangible low tax income (“GILTI”) and a favorable impact from stock compensation excess tax benefits.</w:t>
      </w:r>
    </w:p>
    <w:p>
      <w:pPr>
        <w:spacing w:after="0" w:line="13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was $23.2 million for the three months ended September 30, 2021 compared to $17.3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2020. The increase was primarily due to the reasons stated earlier.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table sets forth, for the periods indicated, statements of operations data by segment, segment net sales as percentage of total net sales and segment operating income as a percentage of segment net sales: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w w:val="95"/>
              </w:rPr>
              <w:t>Three months ended September 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gridSpan w:val="3"/>
          </w:tcPr>
          <w:p>
            <w:pPr>
              <w:jc w:val="right"/>
              <w:ind w:right="1176"/>
              <w:spacing w:after="0"/>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26"/>
        </w:trPr>
        <w:tc>
          <w:tcPr>
            <w:tcW w:w="5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5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Amount</w:t>
            </w: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6"/>
                <w:szCs w:val="16"/>
                <w:color w:val="auto"/>
              </w:rPr>
            </w:pPr>
          </w:p>
        </w:tc>
        <w:tc>
          <w:tcPr>
            <w:tcW w:w="1000" w:type="dxa"/>
            <w:vAlign w:val="bottom"/>
          </w:tcPr>
          <w:p>
            <w:pPr>
              <w:jc w:val="right"/>
              <w:ind w:right="272"/>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39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6"/>
        </w:trPr>
        <w:tc>
          <w:tcPr>
            <w:tcW w:w="5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Contract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gridSpan w:val="2"/>
          </w:tcPr>
          <w:p>
            <w:pPr>
              <w:ind w:left="140"/>
              <w:spacing w:after="0"/>
              <w:rPr>
                <w:sz w:val="20"/>
                <w:szCs w:val="20"/>
                <w:color w:val="auto"/>
              </w:rPr>
            </w:pPr>
            <w:r>
              <w:rPr>
                <w:rFonts w:ascii="Arial" w:cs="Arial" w:eastAsia="Arial" w:hAnsi="Arial"/>
                <w:sz w:val="18"/>
                <w:szCs w:val="18"/>
                <w:color w:val="auto"/>
              </w:rPr>
              <w:t>Transmission &amp; Distribution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306,546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50.2 %</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299,739</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49.3 %</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Commercial &amp; Industrial</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303,636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308,162</w:t>
            </w:r>
          </w:p>
        </w:tc>
        <w:tc>
          <w:tcPr>
            <w:tcW w:w="1540" w:type="dxa"/>
            <w:vAlign w:val="bottom"/>
            <w:tcBorders>
              <w:bottom w:val="single" w:sz="8" w:color="CCEEFF"/>
            </w:tcBorders>
            <w:gridSpan w:val="3"/>
            <w:shd w:val="clear" w:color="auto" w:fill="CCEEFF"/>
          </w:tcPr>
          <w:p>
            <w:pPr>
              <w:jc w:val="right"/>
              <w:ind w:right="136"/>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63"/>
        </w:trPr>
        <w:tc>
          <w:tcPr>
            <w:tcW w:w="554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610,182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607,901</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Operating income (loss):</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40" w:type="dxa"/>
            <w:vAlign w:val="bottom"/>
            <w:gridSpan w:val="2"/>
          </w:tcPr>
          <w:p>
            <w:pPr>
              <w:ind w:left="140"/>
              <w:spacing w:after="0"/>
              <w:rPr>
                <w:sz w:val="20"/>
                <w:szCs w:val="20"/>
                <w:color w:val="auto"/>
              </w:rPr>
            </w:pPr>
            <w:r>
              <w:rPr>
                <w:rFonts w:ascii="Arial" w:cs="Arial" w:eastAsia="Arial" w:hAnsi="Arial"/>
                <w:sz w:val="18"/>
                <w:szCs w:val="18"/>
                <w:color w:val="auto"/>
              </w:rPr>
              <w:t>Transmission &amp; Distribution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35,301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11.5 %</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32,387</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Commercial &amp; Industrial</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11,732</w:t>
            </w:r>
          </w:p>
        </w:tc>
        <w:tc>
          <w:tcPr>
            <w:tcW w:w="1540" w:type="dxa"/>
            <w:vAlign w:val="bottom"/>
            <w:tcBorders>
              <w:bottom w:val="single" w:sz="8" w:color="CCEEFF"/>
            </w:tcBorders>
            <w:gridSpan w:val="3"/>
            <w:shd w:val="clear" w:color="auto" w:fill="CCEEFF"/>
          </w:tcPr>
          <w:p>
            <w:pPr>
              <w:jc w:val="right"/>
              <w:ind w:right="136"/>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554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44,119</w:t>
            </w:r>
          </w:p>
        </w:tc>
        <w:tc>
          <w:tcPr>
            <w:tcW w:w="20" w:type="dxa"/>
            <w:vAlign w:val="bottom"/>
            <w:tcBorders>
              <w:top w:val="single" w:sz="8" w:color="auto"/>
            </w:tcBorders>
          </w:tcPr>
          <w:p>
            <w:pPr>
              <w:spacing w:after="0"/>
              <w:rPr>
                <w:sz w:val="20"/>
                <w:szCs w:val="20"/>
                <w:color w:val="auto"/>
              </w:rPr>
            </w:pPr>
          </w:p>
        </w:tc>
        <w:tc>
          <w:tcPr>
            <w:tcW w:w="1520" w:type="dxa"/>
            <w:vAlign w:val="bottom"/>
            <w:gridSpan w:val="2"/>
          </w:tcPr>
          <w:p>
            <w:pPr>
              <w:jc w:val="right"/>
              <w:ind w:right="136"/>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General Corporate</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(19,190)</w:t>
            </w:r>
          </w:p>
        </w:tc>
        <w:tc>
          <w:tcPr>
            <w:tcW w:w="1540" w:type="dxa"/>
            <w:vAlign w:val="bottom"/>
            <w:tcBorders>
              <w:bottom w:val="single" w:sz="8" w:color="CCEEFF"/>
            </w:tcBorders>
            <w:gridSpan w:val="3"/>
            <w:shd w:val="clear" w:color="auto" w:fill="CCEEFF"/>
          </w:tcPr>
          <w:p>
            <w:pPr>
              <w:jc w:val="right"/>
              <w:ind w:right="96"/>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63"/>
        </w:trPr>
        <w:tc>
          <w:tcPr>
            <w:tcW w:w="5540" w:type="dxa"/>
            <w:vAlign w:val="bottom"/>
            <w:gridSpan w:val="2"/>
          </w:tcPr>
          <w:p>
            <w:pPr>
              <w:ind w:left="140"/>
              <w:spacing w:after="0"/>
              <w:rPr>
                <w:sz w:val="20"/>
                <w:szCs w:val="20"/>
                <w:color w:val="auto"/>
              </w:rPr>
            </w:pPr>
            <w:r>
              <w:rPr>
                <w:rFonts w:ascii="Arial" w:cs="Arial" w:eastAsia="Arial" w:hAnsi="Arial"/>
                <w:sz w:val="18"/>
                <w:szCs w:val="18"/>
                <w:color w:val="auto"/>
              </w:rPr>
              <w:t>Consolidated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30,952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5.1 %</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24,929</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Transmission &amp; Distribution</w:t>
      </w:r>
    </w:p>
    <w:p>
      <w:pPr>
        <w:spacing w:after="0" w:line="17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Revenues for our T&amp;D segment for the three months ended September 30, 2021 were $306.5 million compared to $299.7 million for the three months ended September 30, 2020, an increase of $6.8 million, or 2.3%. The increase in revenue was primarily related to an increase in revenue on distribution projects partially offset by a decrease in revenue on transmission projects. Revenues from transmission projects represented 54.1% and 61.7% of T&amp;D segment revenue for the three months ended September 30, 2021 and 2020, respectively.</w:t>
      </w:r>
    </w:p>
    <w:p>
      <w:pPr>
        <w:spacing w:after="0" w:line="133"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Operating income for our T&amp;D segment for the three months ended September 30, 2021 was $35.3 million, an increase of $2.9 million, or 9.0%, from the three months ended September 30, 2020. The increase in T&amp;D operating income from the prior year was primarily due to higher revenues, favorable job close-outs and change orders and better-than-anticipated productivity on certain projects. These improvements were partially offset by labor and equipment inefficiencies on certain projects. As a percentage of revenues, operating income for our T&amp;D segment was 11.5% for the three months ended September 30, 2021 compared to 10.8% for the three months ended September 30,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&amp; Industrial</w:t>
      </w:r>
    </w:p>
    <w:p>
      <w:pPr>
        <w:spacing w:after="0" w:line="171"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Revenues for our C&amp;I segment for the three months ended September 30, 2021 were $303.6 million compared to $308.2 million for the three months ended September 30, 2020, a decrease of $4.6 million, or 1.5%, primarily due to a decrease in volume on various-sized projects in certain geographic areas.</w:t>
      </w:r>
    </w:p>
    <w:p>
      <w:pPr>
        <w:spacing w:after="0" w:line="13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Operating income for our C&amp;I segment for the three months ended September 30, 2021 was $14.1 million, an increase of $2.4 million, over the three months ended September 30, 2020. The period-over-period increase in operating income was due to better-than-anticipated productivity on certain projects and favorable change orders. These increases were partially offset by labor and equipment inefficiencies on certain projects. As a percentage of revenues, operating income for our C&amp;I segment was 4.7% for the three months ended September 30, 2021 compared to 3.8% for the three months ended September 30,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2021 Compared to Nine Months Ended September 30, 2020</w:t>
      </w:r>
    </w:p>
    <w:p>
      <w:pPr>
        <w:spacing w:after="0" w:line="229" w:lineRule="exact"/>
        <w:rPr>
          <w:sz w:val="20"/>
          <w:szCs w:val="20"/>
          <w:color w:val="auto"/>
        </w:rPr>
      </w:pPr>
    </w:p>
    <w:p>
      <w:pPr>
        <w:jc w:val="both"/>
        <w:ind w:right="500" w:firstLine="648"/>
        <w:spacing w:after="0" w:line="301"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were $1.85 billion for the nine months ended September 30, 2021 compared to $1.64 billion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2020. The increase of $212.8 million, or 13.0%, was primarily due to an increase in revenue on various-sized C&amp;I projects in certain geographic areas, an increase in revenue on distribution projects and large-sized T&amp;D projects. Additionally, revenues during the nine months ended September 30, 2020 were negatively impacted by a slight slowdown of C&amp;I work in certain geographic areas related to the COVID-19 pandemic.</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Gross margin was 13.1% for the nine months ended September 30, 2021 compared to 12.2%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2020. The increase in gross margin was primarily due to better-than-anticipated productivity on certain projects, favorable job close-outs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favorable change order on a project. These improvements were partially offset by labor and equipment inefficiencies on certain projects and unfavorable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pending change order adjustments on certain projects. Changes in estimates of gross profit on certain projects resulted in a gross margin increase of 0.4%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a decrease of 0.4% for the nine months ended September 30, 2021 and 2020, respectively.</w:t>
      </w:r>
    </w:p>
    <w:p>
      <w:pPr>
        <w:spacing w:after="0" w:line="21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was $241.9 million for the nine months ended September 30, 2021 compared to $199.4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2020, the increase of $42.5 million, or 21.3% was due to higher revenues and margins.</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SG&amp;A was $154.6 million for the nine months ended September 30, 2021 compared to $137.7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nine months ended September 30, 2020. The period-over-period increase of $16.9 million was primarily due to higher employee incentive compensation costs, contingent compensation expense related to prior acquisitions and an increase in employee-related expenses to support the growth in our operations.</w:t>
      </w:r>
    </w:p>
    <w:p>
      <w:pPr>
        <w:spacing w:after="0" w:line="187"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i w:val="1"/>
          <w:iCs w:val="1"/>
          <w:color w:val="auto"/>
        </w:rPr>
        <w:t xml:space="preserve">Gain on sale of property and equipment. </w:t>
      </w:r>
      <w:r>
        <w:rPr>
          <w:rFonts w:ascii="Arial" w:cs="Arial" w:eastAsia="Arial" w:hAnsi="Arial"/>
          <w:sz w:val="18"/>
          <w:szCs w:val="18"/>
          <w:color w:val="auto"/>
        </w:rPr>
        <w:t>Gains from the sale of property and equipment for the nine months ended September 30, 2021 were $2.5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to $2.0 million for the nine months ended September 30, 2020. Gains from the sale of property and equipment are attributable to routine sales of property and equipment no longer useful or valuable to our ongoing operations.</w:t>
      </w:r>
    </w:p>
    <w:p>
      <w:pPr>
        <w:spacing w:after="0" w:line="184"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$1.5 million for the nine months ended September 30, 2021 compared to $3.9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2020. This decrease was primarily attributable to a decrease in our outstanding debt during the nine months ended September 30, 2021 as compared to the nine months ended September 30, 2020.</w:t>
      </w:r>
    </w:p>
    <w:p>
      <w:pPr>
        <w:spacing w:after="0" w:line="18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was $22.5 million for the nine months ended September 30, 2021, with an effective tax rate of 25.9%,</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expense of $15.6 million for the nine months ended September 30, 2020, with an effective tax rate of 27.7%. The decrease in the tax rate for the nine months ended September 30, 2021 was primarily due to a favorable impact from stock compensation excess tax benefits and the reduction of the impact of GILTI.</w:t>
      </w:r>
    </w:p>
    <w:p>
      <w:pPr>
        <w:spacing w:after="0" w:line="13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Net income was $64.3 million for the nine months ended September 30, 2021 compared to $40.6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2020. The increase was primarily due to the reasons stated earlier.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for the periods indicated, statements of operations data by segment, segment net sales as percentage of total net sales and segment operating income as a percentage of segment net sales: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w w:val="95"/>
              </w:rPr>
              <w:t>Nine months ended September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5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Amount</w:t>
            </w: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6"/>
                <w:szCs w:val="16"/>
                <w:color w:val="auto"/>
              </w:rPr>
            </w:pPr>
          </w:p>
        </w:tc>
        <w:tc>
          <w:tcPr>
            <w:tcW w:w="146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Amount</w:t>
            </w:r>
          </w:p>
        </w:tc>
        <w:tc>
          <w:tcPr>
            <w:tcW w:w="1100" w:type="dxa"/>
            <w:vAlign w:val="bottom"/>
          </w:tcPr>
          <w:p>
            <w:pPr>
              <w:jc w:val="right"/>
              <w:ind w:right="392"/>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
        </w:trPr>
        <w:tc>
          <w:tcPr>
            <w:tcW w:w="5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Contract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140"/>
              <w:spacing w:after="0"/>
              <w:rPr>
                <w:sz w:val="20"/>
                <w:szCs w:val="20"/>
                <w:color w:val="auto"/>
              </w:rPr>
            </w:pPr>
            <w:r>
              <w:rPr>
                <w:rFonts w:ascii="Arial" w:cs="Arial" w:eastAsia="Arial" w:hAnsi="Arial"/>
                <w:sz w:val="18"/>
                <w:szCs w:val="18"/>
                <w:color w:val="auto"/>
              </w:rPr>
              <w:t>Transmission &amp; Distribution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948,285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51.2 %</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835,768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51.0 %</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Commercial &amp; Industrial</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903,956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803,654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63"/>
        </w:trPr>
        <w:tc>
          <w:tcPr>
            <w:tcW w:w="55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1,852,241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1,639,422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Operating income (loss):</w:t>
            </w: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140"/>
              <w:spacing w:after="0"/>
              <w:rPr>
                <w:sz w:val="20"/>
                <w:szCs w:val="20"/>
                <w:color w:val="auto"/>
              </w:rPr>
            </w:pPr>
            <w:r>
              <w:rPr>
                <w:rFonts w:ascii="Arial" w:cs="Arial" w:eastAsia="Arial" w:hAnsi="Arial"/>
                <w:sz w:val="18"/>
                <w:szCs w:val="18"/>
                <w:color w:val="auto"/>
              </w:rPr>
              <w:t>Transmission &amp; Distribution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96,737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10.2 %</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74,189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Commercial &amp; Industrial</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6"/>
        </w:trPr>
        <w:tc>
          <w:tcPr>
            <w:tcW w:w="55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139,672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104,191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General Corporate</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(51,644)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(43,512)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64"/>
        </w:trPr>
        <w:tc>
          <w:tcPr>
            <w:tcW w:w="5520" w:type="dxa"/>
            <w:vAlign w:val="bottom"/>
            <w:gridSpan w:val="2"/>
          </w:tcPr>
          <w:p>
            <w:pPr>
              <w:ind w:left="140"/>
              <w:spacing w:after="0"/>
              <w:rPr>
                <w:sz w:val="20"/>
                <w:szCs w:val="20"/>
                <w:color w:val="auto"/>
              </w:rPr>
            </w:pPr>
            <w:r>
              <w:rPr>
                <w:rFonts w:ascii="Arial" w:cs="Arial" w:eastAsia="Arial" w:hAnsi="Arial"/>
                <w:sz w:val="18"/>
                <w:szCs w:val="18"/>
                <w:color w:val="auto"/>
              </w:rPr>
              <w:t>Consolidated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88,028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60,679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Transmission &amp; Distribution</w:t>
      </w:r>
    </w:p>
    <w:p>
      <w:pPr>
        <w:spacing w:after="0" w:line="185" w:lineRule="exact"/>
        <w:rPr>
          <w:sz w:val="20"/>
          <w:szCs w:val="20"/>
          <w:color w:val="auto"/>
        </w:rPr>
      </w:pPr>
    </w:p>
    <w:p>
      <w:pPr>
        <w:jc w:val="both"/>
        <w:ind w:right="300" w:firstLine="648"/>
        <w:spacing w:after="0" w:line="259" w:lineRule="auto"/>
        <w:rPr>
          <w:sz w:val="20"/>
          <w:szCs w:val="20"/>
          <w:color w:val="auto"/>
        </w:rPr>
      </w:pPr>
      <w:r>
        <w:rPr>
          <w:rFonts w:ascii="Arial" w:cs="Arial" w:eastAsia="Arial" w:hAnsi="Arial"/>
          <w:sz w:val="18"/>
          <w:szCs w:val="18"/>
          <w:color w:val="auto"/>
        </w:rPr>
        <w:t>Revenues for our T&amp;D segment for the nine months ended September 30, 2021 were $948.3 million compared to $835.8 million for the nine months ended September 30, 2020, an increase of $112.5 million, or 13.5%. The increase in revenue was primarily related to an increase in revenue on distribution projects and large-sized projects. Revenues from transmission projects represented 62.0% and 64.3% of T&amp;D segment revenue for the nine months ended September 30, 2021 and 2020, respectively.</w:t>
      </w:r>
    </w:p>
    <w:p>
      <w:pPr>
        <w:spacing w:after="0" w:line="14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Operating income for our T&amp;D segment for the nine months ended September 30, 2021 was $96.7 million, an increase of $22.5 million, or 30.4%, from the nine months ended September 30, 2020. The increase in T&amp;D operating income from the prior year was primarily due to higher revenues, favorable job close-outs, better-than-anticipated productivity on certain projects and a favorable change order on a project, partially offset by labor and equipment inefficiencies. As a percentage of revenues, operating income for our T&amp;D segment was 10.2% for the nine months ended September 30, 2021 compared to 8.9% for the nine months ended September 30, 2020.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&amp; Industrial</w:t>
      </w:r>
    </w:p>
    <w:p>
      <w:pPr>
        <w:spacing w:after="0" w:line="185" w:lineRule="exact"/>
        <w:rPr>
          <w:sz w:val="20"/>
          <w:szCs w:val="20"/>
          <w:color w:val="auto"/>
        </w:rPr>
      </w:pPr>
    </w:p>
    <w:p>
      <w:pPr>
        <w:jc w:val="both"/>
        <w:ind w:right="320" w:firstLine="648"/>
        <w:spacing w:after="0" w:line="259" w:lineRule="auto"/>
        <w:rPr>
          <w:sz w:val="20"/>
          <w:szCs w:val="20"/>
          <w:color w:val="auto"/>
        </w:rPr>
      </w:pPr>
      <w:r>
        <w:rPr>
          <w:rFonts w:ascii="Arial" w:cs="Arial" w:eastAsia="Arial" w:hAnsi="Arial"/>
          <w:sz w:val="18"/>
          <w:szCs w:val="18"/>
          <w:color w:val="auto"/>
        </w:rPr>
        <w:t>Revenues for our C&amp;I segment for the nine months ended September 30, 2021 were $904.0 million compared to $803.7 million for the nine months ended September 30, 2020, an increase of $100.3 million, or 12.5%, primarily due an increase in revenues on various-sized projects in certain geographic areas. Additionally, revenues during the nine months ended September 30, 2020 were negatively impacted by a slight slowdown of work in certain geographic areas related to the COVID-19 pandemic.</w:t>
      </w:r>
    </w:p>
    <w:p>
      <w:pPr>
        <w:spacing w:after="0" w:line="160"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Operating income for our C&amp;I segment for the nine months ended September 30, 2021 was $42.9 million, an increase of $12.9 million over the nine months ended September 30, 2020. The period-over-period increase in operating income was primarily due to higher revenues and better-than-anticipated productivity on certain projects. These increases were partially offset by labor and equipment inefficiencies and unfavorable change order adjustments on certain projects. As a percentage of revenues, operating income for our C&amp;I segment was 4.7% for the nine months ended September 30, 2021 compared to 3.7% for the nine months ended September 30,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Measure—EBITDA</w:t>
      </w:r>
    </w:p>
    <w:p>
      <w:pPr>
        <w:spacing w:after="0" w:line="189"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We define EBITDA, a performance measure used by management, as net income plus net income from noncontrolling interest, interest expense net of interest income, provision for income taxes and depreciation and amortization. EBITDA, a non-GAAP financial measure, does not purport to be an alternative to net income as a measure of operating performance or to net cash flows provided by operating activities as a measure of liquidity. We believe that EBITDA is useful to investors and other external users of our Consolidated Financial Statements in evaluating our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and book value of assets, useful lives placed on assets, capital structure and the method by which assets were acquired. Because not all companies use identical calculations, this presentation of EBITDA may not be comparable to other similarly-titled measures of other companies. We use, and we believe investors benefit from, the presentation of EBITDA in evaluating our operating performance because it provides us and our investors with an additional tool to compare our operating performance on a consistent basis by removing the impact of certain items that management believes do not directly reflect our core operations.</w:t>
      </w:r>
    </w:p>
    <w:p>
      <w:pPr>
        <w:spacing w:after="0" w:line="128"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Using EBITDA as a performance measure has material limitations as compared to net income, or other financial measures as defined under accounting principles generally accepted in the United States of America (“U.S. GAAP”), as it excludes certain recurring items, which may be meaningful to investors. EBITDA excludes interest expense net of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stockholders. Further, EBITDA excludes depreciation and amortization; however, as we use capital and intangible assets to generate revenues, depreciation and amortization are a necessary element of our costs and ability to generate revenue. Finally, EBITDA excludes income taxes; however, as we are organized as a corporation, the payment of taxes is a necessary element of our operations. As a result of these exclusions from EBITDA, any measure that excludes interest expense net of interest income, depreciation and amortization and income taxes has material limitations as compared to net income. When using EBITDA as a performance measure, management compensates for these limitations by comparing EBITDA to net income in each period, to allow for the comparison of the performance of the underlying core operations with the overall performance of the company on a full-cost, after-tax basis. Using both EBITDA and net income to evaluate the business allows management and investors to (a) assess our relative performance against our competitors and (b) monitor our capacity to generate returns for our stockholders.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net income to EBITDA:</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Three months ended</w:t>
            </w:r>
          </w:p>
        </w:tc>
        <w:tc>
          <w:tcPr>
            <w:tcW w:w="300" w:type="dxa"/>
            <w:vAlign w:val="bottom"/>
          </w:tcPr>
          <w:p>
            <w:pPr>
              <w:spacing w:after="0"/>
              <w:rPr>
                <w:sz w:val="14"/>
                <w:szCs w:val="14"/>
                <w:color w:val="auto"/>
              </w:rPr>
            </w:pPr>
          </w:p>
        </w:tc>
        <w:tc>
          <w:tcPr>
            <w:tcW w:w="240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86"/>
        </w:trPr>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center"/>
              <w:ind w:left="457"/>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center"/>
              <w:ind w:left="477"/>
              <w:spacing w:after="0"/>
              <w:rPr>
                <w:sz w:val="20"/>
                <w:szCs w:val="20"/>
                <w:color w:val="auto"/>
              </w:rPr>
            </w:pPr>
            <w:r>
              <w:rPr>
                <w:rFonts w:ascii="Arial" w:cs="Arial" w:eastAsia="Arial" w:hAnsi="Arial"/>
                <w:sz w:val="14"/>
                <w:szCs w:val="14"/>
                <w:b w:val="1"/>
                <w:bCs w:val="1"/>
                <w:color w:val="auto"/>
                <w:w w:val="89"/>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7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5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64,318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40,609</w:t>
            </w:r>
          </w:p>
        </w:tc>
        <w:tc>
          <w:tcPr>
            <w:tcW w:w="0" w:type="dxa"/>
            <w:vAlign w:val="bottom"/>
          </w:tcPr>
          <w:p>
            <w:pPr>
              <w:spacing w:after="0"/>
              <w:rPr>
                <w:sz w:val="1"/>
                <w:szCs w:val="1"/>
                <w:color w:val="auto"/>
              </w:rPr>
            </w:pPr>
          </w:p>
        </w:tc>
      </w:tr>
      <w:tr>
        <w:trPr>
          <w:trHeight w:val="243"/>
        </w:trPr>
        <w:tc>
          <w:tcPr>
            <w:tcW w:w="5760" w:type="dxa"/>
            <w:vAlign w:val="bottom"/>
            <w:gridSpan w:val="2"/>
          </w:tcPr>
          <w:p>
            <w:pPr>
              <w:ind w:left="140"/>
              <w:spacing w:after="0"/>
              <w:rPr>
                <w:sz w:val="20"/>
                <w:szCs w:val="20"/>
                <w:color w:val="auto"/>
              </w:rPr>
            </w:pPr>
            <w:r>
              <w:rPr>
                <w:rFonts w:ascii="Arial" w:cs="Arial" w:eastAsia="Arial" w:hAnsi="Arial"/>
                <w:sz w:val="18"/>
                <w:szCs w:val="18"/>
                <w:i w:val="1"/>
                <w:iCs w:val="1"/>
                <w:color w:val="auto"/>
              </w:rPr>
              <w:t>Add:</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3,935</w:t>
            </w:r>
          </w:p>
        </w:tc>
        <w:tc>
          <w:tcPr>
            <w:tcW w:w="0" w:type="dxa"/>
            <w:vAlign w:val="bottom"/>
          </w:tcPr>
          <w:p>
            <w:pPr>
              <w:spacing w:after="0"/>
              <w:rPr>
                <w:sz w:val="1"/>
                <w:szCs w:val="1"/>
                <w:color w:val="auto"/>
              </w:rPr>
            </w:pPr>
          </w:p>
        </w:tc>
      </w:tr>
      <w:tr>
        <w:trPr>
          <w:trHeight w:val="243"/>
        </w:trPr>
        <w:tc>
          <w:tcPr>
            <w:tcW w:w="5760" w:type="dxa"/>
            <w:vAlign w:val="bottom"/>
            <w:gridSpan w:val="2"/>
          </w:tcPr>
          <w:p>
            <w:pPr>
              <w:ind w:left="22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7,568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22,493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15,579</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Depreciation &amp;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34,618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35,030</w:t>
            </w:r>
          </w:p>
        </w:tc>
        <w:tc>
          <w:tcPr>
            <w:tcW w:w="0" w:type="dxa"/>
            <w:vAlign w:val="bottom"/>
          </w:tcPr>
          <w:p>
            <w:pPr>
              <w:spacing w:after="0"/>
              <w:rPr>
                <w:sz w:val="1"/>
                <w:szCs w:val="1"/>
                <w:color w:val="auto"/>
              </w:rPr>
            </w:pPr>
          </w:p>
        </w:tc>
      </w:tr>
      <w:tr>
        <w:trPr>
          <w:trHeight w:val="263"/>
        </w:trPr>
        <w:tc>
          <w:tcPr>
            <w:tcW w:w="5760" w:type="dxa"/>
            <w:vAlign w:val="bottom"/>
            <w:gridSpan w:val="2"/>
          </w:tcPr>
          <w:p>
            <w:pPr>
              <w:ind w:left="140"/>
              <w:spacing w:after="0"/>
              <w:rPr>
                <w:sz w:val="20"/>
                <w:szCs w:val="20"/>
                <w:color w:val="auto"/>
              </w:rPr>
            </w:pPr>
            <w:r>
              <w:rPr>
                <w:rFonts w:ascii="Arial" w:cs="Arial" w:eastAsia="Arial" w:hAnsi="Arial"/>
                <w:sz w:val="18"/>
                <w:szCs w:val="18"/>
                <w:color w:val="auto"/>
              </w:rPr>
              <w:t>EBITDA</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42,311</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36,222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122,836</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95,153</w:t>
            </w: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also use EBITDA as a liquidity measure. Certain material covenants contained within our credit agreement (the “Credit Agreement”) are based on EBITDA with certain additional adjustments. Non-compliance with these financial covenants under the Credit Agreement — our interest coverage ratio which is defined in the Credit Agreement as Consolidated EBITDA (as defined in the Credit Agreement) divided by interest expense (as defined in the Credit Agreement) and our leverage ratio, which is defined in the Credit Agreement as Consolidated Total Indebtedness (as defined in the Credit Agreement), divided by Consolidated EBITDA (as defined in the Credit Agreement) — could result in our lenders requiring us to immediately repay all amounts borrowed. If we anticipated a potential covenant violation, we would seek relief from our lenders, likely causing us to incur additional cost, and such relief might not be available, or if available, might not be on terms as favorable as those in the Credit Agreement. In addition, if we cannot satisfy these financial covenants, we would be prohibited under the Credit Agreement from engaging in certain activities, such as incurring additional indebtedness, making certain payments, and acquiring or disposing of assets. Based on the information above, management believes that the presentation of EBITDA as a liquidity measure is useful to investors and relevant to their assessment of our capacity to service or incur debt, fund capital expenditures, finance acquisitions and expand our operations.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net cash flows provided by operating activities to EBITDA: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40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7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
        </w:trPr>
        <w:tc>
          <w:tcPr>
            <w:tcW w:w="5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gridSpan w:val="2"/>
          </w:tcPr>
          <w:p>
            <w:pPr>
              <w:ind w:left="140"/>
              <w:spacing w:after="0"/>
              <w:rPr>
                <w:sz w:val="20"/>
                <w:szCs w:val="20"/>
                <w:color w:val="auto"/>
              </w:rPr>
            </w:pPr>
            <w:r>
              <w:rPr>
                <w:rFonts w:ascii="Arial" w:cs="Arial" w:eastAsia="Arial" w:hAnsi="Arial"/>
                <w:sz w:val="18"/>
                <w:szCs w:val="18"/>
                <w:color w:val="auto"/>
              </w:rPr>
              <w:t>Net cash flows provided by operating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19,653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30,703</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108,215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128,626</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Add/(subtract):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gridSpan w:val="2"/>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(3,867)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(49,784)</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net cash flows provided by</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7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(40,030)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(38,233)</w:t>
            </w:r>
          </w:p>
        </w:tc>
        <w:tc>
          <w:tcPr>
            <w:tcW w:w="0" w:type="dxa"/>
            <w:vAlign w:val="bottom"/>
          </w:tcPr>
          <w:p>
            <w:pPr>
              <w:spacing w:after="0"/>
              <w:rPr>
                <w:sz w:val="1"/>
                <w:szCs w:val="1"/>
                <w:color w:val="auto"/>
              </w:rPr>
            </w:pPr>
          </w:p>
        </w:tc>
      </w:tr>
      <w:tr>
        <w:trPr>
          <w:trHeight w:val="243"/>
        </w:trPr>
        <w:tc>
          <w:tcPr>
            <w:tcW w:w="5760" w:type="dxa"/>
            <w:vAlign w:val="bottom"/>
            <w:gridSpan w:val="2"/>
          </w:tcPr>
          <w:p>
            <w:pPr>
              <w:ind w:left="220"/>
              <w:spacing w:after="0"/>
              <w:rPr>
                <w:sz w:val="20"/>
                <w:szCs w:val="20"/>
                <w:color w:val="auto"/>
              </w:rPr>
            </w:pPr>
            <w:r>
              <w:rPr>
                <w:rFonts w:ascii="Arial" w:cs="Arial" w:eastAsia="Arial" w:hAnsi="Arial"/>
                <w:sz w:val="18"/>
                <w:szCs w:val="18"/>
                <w:color w:val="auto"/>
              </w:rPr>
              <w:t>Depreciation &amp; amortization</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11,290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34,618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35,030</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22,493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15,579</w:t>
            </w:r>
          </w:p>
        </w:tc>
        <w:tc>
          <w:tcPr>
            <w:tcW w:w="0" w:type="dxa"/>
            <w:vAlign w:val="bottom"/>
          </w:tcPr>
          <w:p>
            <w:pPr>
              <w:spacing w:after="0"/>
              <w:rPr>
                <w:sz w:val="1"/>
                <w:szCs w:val="1"/>
                <w:color w:val="auto"/>
              </w:rPr>
            </w:pPr>
          </w:p>
        </w:tc>
      </w:tr>
      <w:tr>
        <w:trPr>
          <w:trHeight w:val="243"/>
        </w:trPr>
        <w:tc>
          <w:tcPr>
            <w:tcW w:w="5760" w:type="dxa"/>
            <w:vAlign w:val="bottom"/>
            <w:gridSpan w:val="2"/>
          </w:tcPr>
          <w:p>
            <w:pPr>
              <w:ind w:left="22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3,935</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42,311</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36,222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122,836</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95,153</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As of September 30, 2021, we had working capital of $244.9 million. We define working capital as current assets less current liabilities. During the nine months ended September 30, 2021, operating activities of our business provided net cash of $108.2 million, compared to $128.6 million of cash provided for the nine months ended September 30, 2020. Cash flow from operations is primarily influenced by demand for our services, operating margins, timing of contract performance and the type of services we provide to our customers. The $20.4 million year-over-year decrease in cash provided by operating activities was primarily due to unfavorable net changes in operating assets and liabilities of $45.9 million, partially offset by an increase in net income of $23.7 million. The unfavorable change in operating assets and liabilities was primarily due to an unfavorable change of $34.0 million in other liabilities and an unfavorable change of $12.9 million in other assets, partially offset by the net favorable year-over-year changes in various working capital accounts that relate primarily to construction activities (accounts receivable, contract assets, accounts payable and contract liabilities) of $1.5 million. The unfavorable change of $34.0 million in other liabilities was primarily due to higher bonus accruals and the timing of employee related wage and tax payments. The unfavorable change in other assets was primarily due to the prepayment of materials required for a large project. The favorable changes in cash provided by working capital accounts, primarily related to construction activities, was primarily due to favorable changes in contract assets and contract liabilities due to the timing of billings and payments under our contracts.</w:t>
      </w:r>
    </w:p>
    <w:p>
      <w:pPr>
        <w:spacing w:after="0" w:line="17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In the nine months ended September 30, 2021, we used net cash of $30.2 million in investing activities consisting of $32.7 million for capital expenditures, partially offset by $2.5 million of proceeds from the sale of equipment.</w:t>
      </w:r>
    </w:p>
    <w:p>
      <w:pPr>
        <w:spacing w:after="0" w:line="170"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In the nine months ended September 30, 2021, financing activities used net cash of $27.6 million, consisting primarily of payment of principal obligations under equipment notes of $24.4 million and share repurchases of $3.4 million, all of which represented shares surrendered to satisfy tax obligations under our stock compensation programs.</w:t>
      </w:r>
    </w:p>
    <w:p>
      <w:pPr>
        <w:spacing w:after="0" w:line="18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anticipate that our borrowing availability of $362.7 million at September 30, 2021 under our revolving line of credit and future cash flow from operations will provide sufficient cash to enable us to meet our future operating needs, debt service requirements, capital expenditures, acquisition and joint venture opportunities, share repurchases, and $13.4 million of remaining payroll tax deferrals provided under the Coronavirus Aid, Relief, and Economic Security Act ("CARES Act") which will be paid by the end of next year. Although we believe that we have adequate cash and borrowing capacity to meet our liquidity needs, any large projects or acquisitions may require additional capital. We continue to invest in developing key management and craft personnel in both our T&amp;D and C&amp;I markets and in procuring the specific specialty equipment and tooling needed to win and execute projects of all sizes and complexity.</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historically paid dividends and currently do not expect to pay 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7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On September 13, 2019, we entered into a five-year amended and restated credit agreement (the “Credit Agreement”) with a syndicate of banks led by JPMorgan Chase Bank, N.A. and Bank of America, N.A. The Credit Agreement provides for a facility of $375 million (the “Facility”), subject to certain financial covenants as defined in the Credit Agreement, that may be used for revolving loans of which $150 million may be used for letters of credit. The Facility also allows for revolving loans and letters of credit in Canadian dollars and other currencies, up to the U.S. dollar equivalent of $75 million. We have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our assets and the assets of our domestic subsidiaries and by a pledge of substantially all of the capital stock of our domestic subsidiaries and 65% of the capital stock of our direct foreign subsidiaries. Additionally, subject to certain exceptions, our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Facility are used for refinancing existing debt, working capital, capital expenditures, acquisitions and other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00" w:firstLine="648"/>
        <w:spacing w:after="0" w:line="284" w:lineRule="auto"/>
        <w:rPr>
          <w:sz w:val="20"/>
          <w:szCs w:val="20"/>
          <w:color w:val="auto"/>
        </w:rPr>
      </w:pPr>
      <w:r>
        <w:rPr>
          <w:rFonts w:ascii="Arial" w:cs="Arial" w:eastAsia="Arial" w:hAnsi="Arial"/>
          <w:sz w:val="16"/>
          <w:szCs w:val="16"/>
          <w:color w:val="auto"/>
        </w:rPr>
        <w:t>Amounts borrowed under the Credit Agreement bear interest, at our option, at a rate equal to either (1) the Alternate Base Rate (as defined in the Credit Agreement), plus an applicable margin ranging from 0.00% to 0.75%; or (2) Adjusted LIBO Rate (as defined in the Credit Agreement) plus an applicable margin ranging from 1.00% to 1.75%. The applicable margin is determined based on our consolidated leverage ratio (“Leverage Ratio”) which is defined in the Credit Agreement as Consolidated Total Indebtedness (as defined in the Credit Agreement) divided by Consolidated EBITDA (as defined in the Credit Agreement). Letters of credit issued under the Facility are subject to a letter of credit fee of 1.00% to 1.75% for non-performance letters of credit or 0.50% to 0.875% for performance letters of credit, based on our consolidated Leverage Ratio. We are subject to a commitment fee of 0.15% to</w:t>
      </w:r>
    </w:p>
    <w:p>
      <w:pPr>
        <w:spacing w:after="0" w:line="4" w:lineRule="exact"/>
        <w:rPr>
          <w:sz w:val="20"/>
          <w:szCs w:val="20"/>
          <w:color w:val="auto"/>
        </w:rPr>
      </w:pPr>
    </w:p>
    <w:p>
      <w:pPr>
        <w:ind w:right="260"/>
        <w:spacing w:after="0" w:line="323" w:lineRule="auto"/>
        <w:rPr>
          <w:sz w:val="20"/>
          <w:szCs w:val="20"/>
          <w:color w:val="auto"/>
        </w:rPr>
      </w:pPr>
      <w:r>
        <w:rPr>
          <w:rFonts w:ascii="Arial" w:cs="Arial" w:eastAsia="Arial" w:hAnsi="Arial"/>
          <w:sz w:val="16"/>
          <w:szCs w:val="16"/>
          <w:color w:val="auto"/>
        </w:rPr>
        <w:t>0.25%, based on our consolidated Leverage Ratio, on any unused portion of the Facility. The Credit Agreement restricts certain types of payments when our consolidated Leverage Ratio exceeds 2.50 or our consolidated Liquidity (as defined in the Credit Agreement) is less than $50.0 million.</w:t>
      </w:r>
    </w:p>
    <w:p>
      <w:pPr>
        <w:spacing w:after="0" w:line="84"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Under the Credit Agreement, we are subject to certain financial covenants and are limited to a maximum consolidated Leverage Ratio of 3.0 and a minimum interest coverage ratio of 3.0, which is defined in the Credit Agreement as Consolidated EBITDA (as defined in the Credit Agreement) divided by interest expense (as defined in the Credit Agreement). The Credit Agreement also contains a number of covenants, including limitations on asset sales, investments, indebtedness and liens. We were in compliance with all of the financial covenants under the Credit Agreement as of September 30, 2021.</w:t>
      </w:r>
    </w:p>
    <w:p>
      <w:pPr>
        <w:spacing w:after="0" w:line="103" w:lineRule="exact"/>
        <w:rPr>
          <w:sz w:val="20"/>
          <w:szCs w:val="20"/>
          <w:color w:val="auto"/>
        </w:rPr>
      </w:pPr>
    </w:p>
    <w:p>
      <w:pPr>
        <w:ind w:right="1040" w:firstLine="648"/>
        <w:spacing w:after="0" w:line="277" w:lineRule="auto"/>
        <w:rPr>
          <w:sz w:val="20"/>
          <w:szCs w:val="20"/>
          <w:color w:val="auto"/>
        </w:rPr>
      </w:pPr>
      <w:r>
        <w:rPr>
          <w:rFonts w:ascii="Arial" w:cs="Arial" w:eastAsia="Arial" w:hAnsi="Arial"/>
          <w:sz w:val="18"/>
          <w:szCs w:val="18"/>
          <w:color w:val="auto"/>
        </w:rPr>
        <w:t>We had no debt outstanding under the Facility as of September 30, 2021 and December 31, 2020, and letters of credit outstanding of approximately $12.3 million and $10.4 million as of September 30, 2021 and December 31, 2020,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 Notes</w:t>
      </w:r>
    </w:p>
    <w:p>
      <w:pPr>
        <w:spacing w:after="0" w:line="171"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We have entered into multiple Master Loan Agreements with multiple banks. The Master Loan Agreements may be used for financing of equipment between us and the lending banks pursuant to one or more equipment notes ("Equipment Notes"). Each Equipment Note constitutes a separate, distinct and independent financing of equipment and contractual obligation.</w:t>
      </w:r>
    </w:p>
    <w:p>
      <w:pPr>
        <w:spacing w:after="0" w:line="13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of September 30, 2021, we had one executed and outstanding Equipment Note that is collateralized by equipment and vehicles owned by us. In addition to regularly scheduled payments, we retired three of our Equipment Notes during the nine months ended September 30, 2021, one of which contained a prepayment penalty. The outstanding balance of our Equipment Notes was $5.0 million and $29.4 million as of September 30, 2021 and December 31, 2020,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Transactions</w:t>
      </w:r>
    </w:p>
    <w:p>
      <w:pPr>
        <w:spacing w:after="0" w:line="229"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As is common in our industry, we enter into certain off-balance sheet arrangements in the ordinary course of business that result in risks not directly reflected on our balance sheets. Our significant off-balance sheet transactions, such as liabilities associated with letter of credit obligations and surety guarantees related to performance bonds, could be entered into in the normal course of business. We have not engaged in any off-balance sheet financing arrangements through special purpose entities.</w:t>
      </w:r>
    </w:p>
    <w:p>
      <w:pPr>
        <w:spacing w:after="0" w:line="18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For a discussion regarding off-balance sheet transactions, please refer to Note 8–Commitments and Contingencies in the accompanying notes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grant trade credit under normal payment terms, generally without collateral, to our customers, which include high credit quality electric utilities, governmental entities, general contractors and builders, owners and managers of commercial and industrial properties located in the United States. Consequently, we are subject to potential credit risk related to changes in business and economic factors throughout the United States. However, we generally have certain statutory lien rights with respect to services provided. Under certain circumstances such as foreclosures or negotiated settlements, we may take title to the underlying assets in lieu of cash in settlement of receivables. As of September 30, 2021 and 2020, none of our customers individually exceeded 10% of consolidated accounts receivable. Management believes the terms and conditions in its contracts, billing and collection policies are adequate to minimize the potential credit risk.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For a discussion regarding new accounting pronouncements, please refer to Note 1–Organization, Business and Basis of Presentation—Recent Accounting Pronouncements in the accompanying notes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The discussion and analysis of our financial condition and results of operations are based on our consolidated financial statements, which have been prepared in accordance with U.S. GAAP. The preparation of these consolidated financial statements requires us to make estimates and assumptions that affect the reported amounts of assets and liabilities, disclosures of contingent assets and liabilities known to exist at the date of the consolidated financial statements and the reported amounts of revenues and expenses during the reporting period. We evaluate our estimates on an ongoing basis, based on historical experience and on various other assumptions that we believe to be reasonable under the circumstances. There can be no assurance that actual results will not differ from those estimates. For further information regarding our critical accounting policies and estimates, please refer to Item 7, “Management’s Discussion and Analysis of Financial Condition and Results of Operations—Critical Accounting Policies” included in our 2020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 and Information</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are including the following discussion to inform you of some of the risks and uncertainties that can affect our company and to take advantage of the protections for forward-looking statements that applicable federal securities law affords.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Statements in this Quarterly Report on Form 10-Q contain various forward-looking statements within the meaning of Section 27A of the Securities Act of 1933 (the “Securities Act”) and Section 21E of the Securities Exchange Act of 1934 (the “Exchange Act”), which represent our management’s beliefs and assumptions concerning future events. When used in this document and in documents incorporated by reference, forward-looking statements include, without limitation, statements regarding financial forecasts or projections, and our expectations, beliefs, intentions or future strategies that are signified by the words “anticipate,” “believe,” “estimate,” “expect,” “intend,” “likely,” “may,” “objective,” “outlook,” “plan,” “project,” “possible,” “potential,” “should”, "unlikely,” or other words that convey the uncertainty of future events or outcomes. The forward-looking statements in this Quarterly Report on Form 10-Q speak only as of the date of this Quarterly Report on Form 10-Q. We disclaim any obligation to update these statements (unless required by securities laws),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In addition, many of these risks, contingencies and uncertainties are currently amplified by, and may continue to be amplified by, the COVID-19 pandemic. These and other important factors, including those discussed under the caption “Forward-Looking Statements” and in Item 1A. “Risk Factors” in our 2020 Annual Report, and in any risk factors or cautionary statements contained in our other filings with the Securities and Exchange Commission, may cause our actual results, performance or achievements to differ materially from any future results, performance or achievements expressed or implied by these forward-looking statements.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risks, contingencies and uncertainties include, but are not limited to, the following:</w:t>
      </w:r>
    </w:p>
    <w:p>
      <w:pPr>
        <w:spacing w:after="0" w:line="63"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operating results may vary significantly from period to period.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industry is highly competitive.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Negative economic and market conditions may adversely impact our customers’ future spending and, as a result, our operations and growth.</w:t>
      </w:r>
    </w:p>
    <w:p>
      <w:pPr>
        <w:spacing w:after="0" w:line="86" w:lineRule="exact"/>
        <w:rPr>
          <w:rFonts w:ascii="Arial" w:cs="Arial" w:eastAsia="Arial" w:hAnsi="Arial"/>
          <w:sz w:val="16"/>
          <w:szCs w:val="16"/>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unsuccessful in generating internal growth, which could impact the projects available to the Company.</w:t>
      </w:r>
    </w:p>
    <w:p>
      <w:pPr>
        <w:spacing w:after="0" w:line="63" w:lineRule="exact"/>
        <w:rPr>
          <w:rFonts w:ascii="Arial" w:cs="Arial" w:eastAsia="Arial" w:hAnsi="Arial"/>
          <w:sz w:val="18"/>
          <w:szCs w:val="18"/>
          <w:color w:val="auto"/>
        </w:rPr>
      </w:pPr>
    </w:p>
    <w:p>
      <w:pPr>
        <w:ind w:left="980" w:right="58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successfully execute or integrate acquisitions or joint ventures may have an adverse impact on our growth strategy and business.</w:t>
      </w:r>
    </w:p>
    <w:p>
      <w:pPr>
        <w:spacing w:after="0" w:line="8" w:lineRule="exact"/>
        <w:rPr>
          <w:rFonts w:ascii="Arial" w:cs="Arial" w:eastAsia="Arial" w:hAnsi="Arial"/>
          <w:sz w:val="18"/>
          <w:szCs w:val="18"/>
          <w:color w:val="auto"/>
        </w:rPr>
      </w:pPr>
    </w:p>
    <w:p>
      <w:pPr>
        <w:ind w:left="980" w:right="42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Project performance issues, including those caused by third parties, or certain contractual obligations may result in additional costs to us, reductions or delays in revenues or the payment of penalties, including liquidated damages.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unable to attract and retain qualified personnel.</w:t>
      </w:r>
    </w:p>
    <w:p>
      <w:pPr>
        <w:spacing w:after="0" w:line="63" w:lineRule="exact"/>
        <w:rPr>
          <w:rFonts w:ascii="Arial" w:cs="Arial" w:eastAsia="Arial" w:hAnsi="Arial"/>
          <w:sz w:val="18"/>
          <w:szCs w:val="18"/>
          <w:color w:val="auto"/>
        </w:rPr>
      </w:pPr>
    </w:p>
    <w:p>
      <w:pPr>
        <w:ind w:left="980" w:right="40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new contracts and termination of existing contracts may result in unpredictable fluctuations in our cash flows and financial results.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ordinary course of our business, we may become subject to lawsuits or indemnity claims.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Backlog may not be realized or may not result in profits and may not accurately represent future revenue.</w:t>
      </w:r>
    </w:p>
    <w:p>
      <w:pPr>
        <w:spacing w:after="0" w:line="63" w:lineRule="exact"/>
        <w:rPr>
          <w:rFonts w:ascii="Arial" w:cs="Arial" w:eastAsia="Arial" w:hAnsi="Arial"/>
          <w:sz w:val="18"/>
          <w:szCs w:val="18"/>
          <w:color w:val="auto"/>
        </w:rPr>
      </w:pPr>
    </w:p>
    <w:p>
      <w:pPr>
        <w:ind w:left="980" w:right="280" w:hanging="324"/>
        <w:spacing w:after="0" w:line="263"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insurance has limits and exclusions that may not fully indemnify us against certain claims or losses, including claims resulting from wildfires or other natural disasters, and an increase in cost, unavailability or cancellation of third party insurance coverages would increase our overall risk exposure and could disrupt our operations and reduce our profitability.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tax laws or our interpretations of tax laws could materially impact our income tax liabilities.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nature of our business exposes us to potential liability for warranty claims and faulty engineering, which may reduce our profitability.</w:t>
      </w:r>
    </w:p>
    <w:p>
      <w:pPr>
        <w:spacing w:after="0" w:line="86" w:lineRule="exact"/>
        <w:rPr>
          <w:rFonts w:ascii="Arial" w:cs="Arial" w:eastAsia="Arial" w:hAnsi="Arial"/>
          <w:sz w:val="16"/>
          <w:szCs w:val="16"/>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Risks associated with operating in the Canadian market could restrict our ability to expand and harm our business and prospects.</w:t>
      </w:r>
    </w:p>
    <w:p>
      <w:pPr>
        <w:spacing w:after="0" w:line="74" w:lineRule="exact"/>
        <w:rPr>
          <w:rFonts w:ascii="Arial" w:cs="Arial" w:eastAsia="Arial" w:hAnsi="Arial"/>
          <w:sz w:val="17"/>
          <w:szCs w:val="17"/>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dependence on suppliers, subcontractors and equipment manufacturers could expose us to the risk of loss in our operations.</w:t>
      </w:r>
    </w:p>
    <w:p>
      <w:pPr>
        <w:spacing w:after="0" w:line="74" w:lineRule="exact"/>
        <w:rPr>
          <w:rFonts w:ascii="Arial" w:cs="Arial" w:eastAsia="Arial" w:hAnsi="Arial"/>
          <w:sz w:val="17"/>
          <w:szCs w:val="17"/>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participation in joint ventures and other projects with third parties may expose us to liability for failures of our partners.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Legislative or regulatory actions relating to electricity transmission and renewable energy may impact demand for our services.</w:t>
      </w:r>
    </w:p>
    <w:p>
      <w:pPr>
        <w:spacing w:after="0" w:line="63" w:lineRule="exact"/>
        <w:rPr>
          <w:rFonts w:ascii="Arial" w:cs="Arial" w:eastAsia="Arial" w:hAnsi="Arial"/>
          <w:sz w:val="18"/>
          <w:szCs w:val="18"/>
          <w:color w:val="auto"/>
        </w:rPr>
      </w:pPr>
    </w:p>
    <w:p>
      <w:pPr>
        <w:ind w:left="980" w:right="34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incur liabilities and suffer negative financial or reputational impacts relating to occupational health and safety matters, including those related to environmental hazards such as wildfires and other natural disasters.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failure to comply with environmental and other laws and regulations could result in significant liabilities.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business may be affected by seasonal and other variations, including severe weather conditions and the nature of our work environment.</w:t>
      </w:r>
    </w:p>
    <w:p>
      <w:pPr>
        <w:spacing w:after="0" w:line="86" w:lineRule="exact"/>
        <w:rPr>
          <w:rFonts w:ascii="Arial" w:cs="Arial" w:eastAsia="Arial" w:hAnsi="Arial"/>
          <w:sz w:val="16"/>
          <w:szCs w:val="16"/>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Opportunities associated with government contracts could lead to increased governmental regulation applicable to us.</w:t>
      </w:r>
    </w:p>
    <w:p>
      <w:pPr>
        <w:spacing w:after="0" w:line="63" w:lineRule="exact"/>
        <w:rPr>
          <w:rFonts w:ascii="Arial" w:cs="Arial" w:eastAsia="Arial" w:hAnsi="Arial"/>
          <w:sz w:val="18"/>
          <w:szCs w:val="18"/>
          <w:color w:val="auto"/>
        </w:rPr>
      </w:pPr>
    </w:p>
    <w:p>
      <w:pPr>
        <w:ind w:left="980" w:right="340" w:hanging="324"/>
        <w:spacing w:after="0" w:line="298" w:lineRule="auto"/>
        <w:tabs>
          <w:tab w:leader="none" w:pos="975"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are subject to risks associated with climate change including financial risks and physical risks such as an increase in extreme weather events (such as floods, wildfires or hurricanes), rising sea levels and limitations on water availability and quality.</w:t>
      </w: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use of percentage-of-completion accounting could result in a reduction or reversal of previously recognized revenues and profits.</w:t>
      </w:r>
    </w:p>
    <w:p>
      <w:pPr>
        <w:spacing w:after="0" w:line="74" w:lineRule="exact"/>
        <w:rPr>
          <w:rFonts w:ascii="Arial" w:cs="Arial" w:eastAsia="Arial" w:hAnsi="Arial"/>
          <w:sz w:val="17"/>
          <w:szCs w:val="17"/>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financial results are based upon estimates and assumptions that may differ from actual results.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actual costs may be greater than expected in performing our fixed-price and unit-price contracts.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the prices of certain materials and commodities used in our business could adversely affect our business.</w:t>
      </w:r>
    </w:p>
    <w:p>
      <w:pPr>
        <w:spacing w:after="0" w:line="63"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compete for, or work on, certain projects if we are not able to obtain necessary bonds, letters of credit, bank guarantees or other financial assurances.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COVID-19 may have an adverse impact on our business, employees, liquidity, financial condition, results of operations and cash flows.</w:t>
      </w:r>
    </w:p>
    <w:p>
      <w:pPr>
        <w:spacing w:after="0" w:line="74" w:lineRule="exact"/>
        <w:rPr>
          <w:rFonts w:ascii="Arial" w:cs="Arial" w:eastAsia="Arial" w:hAnsi="Arial"/>
          <w:sz w:val="17"/>
          <w:szCs w:val="17"/>
          <w:color w:val="auto"/>
        </w:rPr>
      </w:pPr>
    </w:p>
    <w:p>
      <w:pPr>
        <w:ind w:left="980" w:right="88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Work stoppages or other labor issues with our unionized workforce could adversely affect our business, and we may be subject to unionization attempts.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Multi-employer pension plan obligations related to our unionized workforce could adversely impact our earnings.</w:t>
      </w:r>
    </w:p>
    <w:p>
      <w:pPr>
        <w:spacing w:after="0" w:line="63" w:lineRule="exact"/>
        <w:rPr>
          <w:rFonts w:ascii="Arial" w:cs="Arial" w:eastAsia="Arial" w:hAnsi="Arial"/>
          <w:sz w:val="18"/>
          <w:szCs w:val="18"/>
          <w:color w:val="auto"/>
        </w:rPr>
      </w:pPr>
    </w:p>
    <w:p>
      <w:pPr>
        <w:ind w:left="980" w:right="360" w:hanging="324"/>
        <w:spacing w:after="0" w:line="263"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rely on information, communications and data systems in our operations and we or our business partners may be subject to failures, interruptions or breaches of such systems, which could affect our operations or our competitive position, expose sensitive information or damage our reputation.</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As of September 30, 2021, we were not party to any derivative instruments. We did not use any material derivative financial instruments during the nine months ended September 30, 2021 and 2020, including instruments for trading, hedging or speculating on changes in interest rates or commodity prices of materials used in our business.</w:t>
      </w:r>
    </w:p>
    <w:p>
      <w:pPr>
        <w:spacing w:after="0" w:line="18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Any borrowings under our Facility are based upon interest rates that will vary depending upon the prime rate, Canadian prime rate, federal funds effective rate, the NYFRB overnight bank funding rate, CDOR, and LIBOR. If the prime rate, Canadian prime rate, federal funds effective rate, the NYFRB overnight bank funding rate, CDOR, or LIBOR rises, any interest payment obligations would increase and have a negative effect on our cash flow and financial condition. We currently do not maintain any hedging contracts that would limit our exposure to variable rates of interest when we have outstanding borrowings. As of September 30, 2021, we did not have any borrowings under our Facility.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Borrowings under our Equipment Notes are at fixed rates established on the date the respective Equipment Note was executed.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have evaluated the effectiveness of our disclosure controls and procedures, as defined under Exchange Act Rules 13a-15(e) and 15d-15(e), as of the end of the period covered by this quarterly report. Based on that evaluation, the Chief Executive Officer and Chief Financial Officer concluded that our disclosure controls and procedures were effective as of September 30,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the period covered by this report, there were no changes in our internal control over financial reporting that materially affected, or that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For discussion regarding legal proceedings, please refer to Note 8–Commitments and Contingencies—Litigation and Other Legal Matters in the accompanying notes to our Consolidated Financial Statements.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face a number of risks that could materially and adversely affect our business, employees, liquidity, financial condition, results of operations and cash flows. A discussion of our risk factors can be found in Item 1A. “Risk Factors” in our 2020 Annual Report. As of the date of this filing, there have been no material changes to the risk factors previously discussed in Item 1A. “Risk Factors” in our 2020 Annual Report. An investment in our common stock involves various risks. When considering an investment in our company, you should carefully consider all of the risk factors described in our 2020 Annual Report. These risks and uncertainties are not the only ones facing us and there may be additional matters that are not known to us or that we currently consider immaterial. These risks and uncertainties could adversely affect our business, employees, liquidity, financial condition, results of operations or cash flows and, thus, the value of our common stock and any investment in our company.</w:t>
      </w:r>
    </w:p>
    <w:p>
      <w:pPr>
        <w:spacing w:after="0" w:line="17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b w:val="1"/>
          <w:bCs w:val="1"/>
          <w:i w:val="1"/>
          <w:iCs w:val="1"/>
          <w:color w:val="auto"/>
        </w:rPr>
        <w:t xml:space="preserve">Purchases of Common Stock. </w:t>
      </w:r>
      <w:r>
        <w:rPr>
          <w:rFonts w:ascii="Arial" w:cs="Arial" w:eastAsia="Arial" w:hAnsi="Arial"/>
          <w:sz w:val="18"/>
          <w:szCs w:val="18"/>
          <w:color w:val="auto"/>
        </w:rPr>
        <w:t>The Company did not repurchase any shares of its common stock during the period from July 1, 2021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2021.</w:t>
      </w:r>
    </w:p>
    <w:p>
      <w:pPr>
        <w:spacing w:after="0" w:line="170"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b w:val="1"/>
          <w:bCs w:val="1"/>
          <w:i w:val="1"/>
          <w:iCs w:val="1"/>
          <w:color w:val="auto"/>
        </w:rPr>
        <w:t xml:space="preserve">Share Repurchase Program. </w:t>
      </w:r>
      <w:r>
        <w:rPr>
          <w:rFonts w:ascii="Arial" w:cs="Arial" w:eastAsia="Arial" w:hAnsi="Arial"/>
          <w:sz w:val="17"/>
          <w:szCs w:val="17"/>
          <w:color w:val="auto"/>
        </w:rPr>
        <w:t>On October 23, 2020 the Company’s Board of Directors announced a new $50.0 million share repurchase program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 November 2, 2020. The Company intends to fund the share repurchase program from cash on hand and through borrowings under its credit facility. The new share repurchase program will expire on November 2, 2021, or when the authorized funds are exhausted, whichever is earlier. No shares were repurchased under the program during the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158"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20" w:type="dxa"/>
            <w:vAlign w:val="bottom"/>
            <w:shd w:val="clear" w:color="auto" w:fill="CCEEFF"/>
          </w:tcPr>
          <w:p>
            <w:pPr>
              <w:jc w:val="right"/>
              <w:spacing w:after="0"/>
              <w:rPr>
                <w:rFonts w:ascii="Arial" w:cs="Arial" w:eastAsia="Arial" w:hAnsi="Arial"/>
                <w:sz w:val="18"/>
                <w:szCs w:val="18"/>
                <w:color w:val="0000FF"/>
                <w:w w:val="85"/>
              </w:rPr>
            </w:pPr>
            <w:hyperlink w:anchor="page38">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40" w:type="dxa"/>
            <w:vAlign w:val="bottom"/>
            <w:gridSpan w:val="5"/>
            <w:shd w:val="clear" w:color="auto" w:fill="CCEEFF"/>
          </w:tcPr>
          <w:p>
            <w:pPr>
              <w:spacing w:after="0"/>
              <w:rPr>
                <w:rFonts w:ascii="Arial" w:cs="Arial" w:eastAsia="Arial" w:hAnsi="Arial"/>
                <w:sz w:val="20"/>
                <w:szCs w:val="20"/>
                <w:color w:val="0000FF"/>
              </w:rPr>
            </w:pPr>
            <w:hyperlink w:anchor="page38">
              <w:r>
                <w:rPr>
                  <w:rFonts w:ascii="Arial" w:cs="Arial" w:eastAsia="Arial" w:hAnsi="Arial"/>
                  <w:sz w:val="20"/>
                  <w:szCs w:val="20"/>
                  <w:color w:val="0000FF"/>
                </w:rPr>
                <w:t>Certification of Chief Executive Officer pursuant to SEC Rule 13a-14(a)/15d-14(a)†</w:t>
              </w:r>
            </w:hyperlink>
          </w:p>
        </w:tc>
      </w:tr>
      <w:tr>
        <w:trPr>
          <w:trHeight w:val="223"/>
        </w:trPr>
        <w:tc>
          <w:tcPr>
            <w:tcW w:w="18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320" w:type="dxa"/>
            <w:vAlign w:val="bottom"/>
            <w:tcBorders>
              <w:top w:val="single" w:sz="8" w:color="0000FF"/>
            </w:tcBorders>
          </w:tcPr>
          <w:p>
            <w:pPr>
              <w:jc w:val="right"/>
              <w:spacing w:after="0" w:line="182" w:lineRule="exact"/>
              <w:rPr>
                <w:rFonts w:ascii="Arial" w:cs="Arial" w:eastAsia="Arial" w:hAnsi="Arial"/>
                <w:sz w:val="18"/>
                <w:szCs w:val="18"/>
                <w:color w:val="0000FF"/>
                <w:w w:val="85"/>
              </w:rPr>
            </w:pPr>
            <w:hyperlink w:anchor="page39">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680" w:type="dxa"/>
            <w:vAlign w:val="bottom"/>
            <w:tcBorders>
              <w:top w:val="single" w:sz="8" w:color="0000FF"/>
            </w:tcBorders>
            <w:gridSpan w:val="4"/>
          </w:tcPr>
          <w:p>
            <w:pPr>
              <w:spacing w:after="0" w:line="183" w:lineRule="exact"/>
              <w:rPr>
                <w:rFonts w:ascii="Arial" w:cs="Arial" w:eastAsia="Arial" w:hAnsi="Arial"/>
                <w:sz w:val="20"/>
                <w:szCs w:val="20"/>
                <w:color w:val="0000FF"/>
                <w:w w:val="91"/>
              </w:rPr>
            </w:pPr>
            <w:hyperlink w:anchor="page39">
              <w:r>
                <w:rPr>
                  <w:rFonts w:ascii="Arial" w:cs="Arial" w:eastAsia="Arial" w:hAnsi="Arial"/>
                  <w:sz w:val="20"/>
                  <w:szCs w:val="20"/>
                  <w:color w:val="0000FF"/>
                  <w:w w:val="91"/>
                </w:rPr>
                <w:t>Certification of Chief Financial Officer pursuant to SEC Rule 13a-14(a)/15d-14(a)†</w:t>
              </w:r>
            </w:hyperlink>
          </w:p>
        </w:tc>
        <w:tc>
          <w:tcPr>
            <w:tcW w:w="3360" w:type="dxa"/>
            <w:vAlign w:val="bottom"/>
            <w:tcBorders>
              <w:top w:val="single" w:sz="8" w:color="CCEEFF"/>
            </w:tcBorders>
          </w:tcPr>
          <w:p>
            <w:pPr>
              <w:spacing w:after="0"/>
              <w:rPr>
                <w:sz w:val="19"/>
                <w:szCs w:val="19"/>
                <w:color w:val="auto"/>
              </w:rPr>
            </w:pPr>
          </w:p>
        </w:tc>
      </w:tr>
      <w:tr>
        <w:trPr>
          <w:trHeight w:val="41"/>
        </w:trPr>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5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06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3360" w:type="dxa"/>
            <w:vAlign w:val="bottom"/>
          </w:tcPr>
          <w:p>
            <w:pPr>
              <w:spacing w:after="0"/>
              <w:rPr>
                <w:sz w:val="3"/>
                <w:szCs w:val="3"/>
                <w:color w:val="auto"/>
              </w:rPr>
            </w:pPr>
          </w:p>
        </w:tc>
      </w:tr>
      <w:tr>
        <w:trPr>
          <w:trHeight w:val="263"/>
        </w:trPr>
        <w:tc>
          <w:tcPr>
            <w:tcW w:w="1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line="182" w:lineRule="exact"/>
              <w:rPr>
                <w:rFonts w:ascii="Arial" w:cs="Arial" w:eastAsia="Arial" w:hAnsi="Arial"/>
                <w:sz w:val="18"/>
                <w:szCs w:val="18"/>
                <w:color w:val="0000FF"/>
                <w:w w:val="85"/>
              </w:rPr>
            </w:pPr>
            <w:hyperlink w:anchor="page40">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40" w:type="dxa"/>
            <w:vAlign w:val="bottom"/>
            <w:gridSpan w:val="5"/>
            <w:shd w:val="clear" w:color="auto" w:fill="CCEEFF"/>
          </w:tcPr>
          <w:p>
            <w:pPr>
              <w:spacing w:after="0" w:line="183" w:lineRule="exact"/>
              <w:rPr>
                <w:rFonts w:ascii="Arial" w:cs="Arial" w:eastAsia="Arial" w:hAnsi="Arial"/>
                <w:sz w:val="20"/>
                <w:szCs w:val="20"/>
                <w:color w:val="0000FF"/>
              </w:rPr>
            </w:pPr>
            <w:hyperlink w:anchor="page40">
              <w:r>
                <w:rPr>
                  <w:rFonts w:ascii="Arial" w:cs="Arial" w:eastAsia="Arial" w:hAnsi="Arial"/>
                  <w:sz w:val="20"/>
                  <w:szCs w:val="20"/>
                  <w:color w:val="0000FF"/>
                </w:rPr>
                <w:t>Certification of Chief Executive Officer pursuant to 18 U.S.C. §1350†</w:t>
              </w:r>
            </w:hyperlink>
          </w:p>
        </w:tc>
      </w:tr>
      <w:tr>
        <w:trPr>
          <w:trHeight w:val="223"/>
        </w:trPr>
        <w:tc>
          <w:tcPr>
            <w:tcW w:w="18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320" w:type="dxa"/>
            <w:vAlign w:val="bottom"/>
            <w:tcBorders>
              <w:top w:val="single" w:sz="8" w:color="0000FF"/>
            </w:tcBorders>
          </w:tcPr>
          <w:p>
            <w:pPr>
              <w:jc w:val="right"/>
              <w:spacing w:after="0" w:line="182" w:lineRule="exact"/>
              <w:rPr>
                <w:rFonts w:ascii="Arial" w:cs="Arial" w:eastAsia="Arial" w:hAnsi="Arial"/>
                <w:sz w:val="18"/>
                <w:szCs w:val="18"/>
                <w:color w:val="0000FF"/>
                <w:w w:val="85"/>
              </w:rPr>
            </w:pPr>
            <w:hyperlink w:anchor="page41">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560" w:type="dxa"/>
            <w:vAlign w:val="bottom"/>
            <w:tcBorders>
              <w:top w:val="single" w:sz="8" w:color="0000FF"/>
            </w:tcBorders>
            <w:gridSpan w:val="2"/>
          </w:tcPr>
          <w:p>
            <w:pPr>
              <w:spacing w:after="0" w:line="183" w:lineRule="exact"/>
              <w:rPr>
                <w:rFonts w:ascii="Arial" w:cs="Arial" w:eastAsia="Arial" w:hAnsi="Arial"/>
                <w:sz w:val="20"/>
                <w:szCs w:val="20"/>
                <w:color w:val="0000FF"/>
                <w:w w:val="92"/>
              </w:rPr>
            </w:pPr>
            <w:hyperlink w:anchor="page41">
              <w:r>
                <w:rPr>
                  <w:rFonts w:ascii="Arial" w:cs="Arial" w:eastAsia="Arial" w:hAnsi="Arial"/>
                  <w:sz w:val="20"/>
                  <w:szCs w:val="20"/>
                  <w:color w:val="0000FF"/>
                  <w:w w:val="92"/>
                </w:rPr>
                <w:t>Certification of Chief Financial Officer pursuant to 18 U.S.C. §1350†</w:t>
              </w:r>
            </w:hyperlink>
          </w:p>
        </w:tc>
        <w:tc>
          <w:tcPr>
            <w:tcW w:w="4480" w:type="dxa"/>
            <w:vAlign w:val="bottom"/>
            <w:tcBorders>
              <w:top w:val="single" w:sz="8" w:color="CCEEFF"/>
            </w:tcBorders>
            <w:gridSpan w:val="3"/>
          </w:tcPr>
          <w:p>
            <w:pPr>
              <w:spacing w:after="0"/>
              <w:rPr>
                <w:sz w:val="19"/>
                <w:szCs w:val="19"/>
                <w:color w:val="auto"/>
              </w:rPr>
            </w:pPr>
          </w:p>
        </w:tc>
      </w:tr>
      <w:tr>
        <w:trPr>
          <w:trHeight w:val="41"/>
        </w:trPr>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52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3360" w:type="dxa"/>
            <w:vAlign w:val="bottom"/>
          </w:tcPr>
          <w:p>
            <w:pPr>
              <w:spacing w:after="0"/>
              <w:rPr>
                <w:sz w:val="3"/>
                <w:szCs w:val="3"/>
                <w:color w:val="auto"/>
              </w:rPr>
            </w:pPr>
          </w:p>
        </w:tc>
      </w:tr>
      <w:tr>
        <w:trPr>
          <w:trHeight w:val="270"/>
        </w:trPr>
        <w:tc>
          <w:tcPr>
            <w:tcW w:w="1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5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360" w:type="dxa"/>
            <w:vAlign w:val="bottom"/>
            <w:shd w:val="clear" w:color="auto" w:fill="CCEEFF"/>
          </w:tcPr>
          <w:p>
            <w:pPr>
              <w:spacing w:after="0"/>
              <w:rPr>
                <w:sz w:val="23"/>
                <w:szCs w:val="23"/>
                <w:color w:val="auto"/>
              </w:rPr>
            </w:pPr>
          </w:p>
        </w:tc>
      </w:tr>
      <w:tr>
        <w:trPr>
          <w:trHeight w:val="243"/>
        </w:trPr>
        <w:tc>
          <w:tcPr>
            <w:tcW w:w="180" w:type="dxa"/>
            <w:vAlign w:val="bottom"/>
          </w:tcPr>
          <w:p>
            <w:pPr>
              <w:spacing w:after="0"/>
              <w:rPr>
                <w:sz w:val="21"/>
                <w:szCs w:val="21"/>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101.INS</w:t>
            </w:r>
          </w:p>
        </w:tc>
        <w:tc>
          <w:tcPr>
            <w:tcW w:w="10120" w:type="dxa"/>
            <w:vAlign w:val="bottom"/>
            <w:gridSpan w:val="6"/>
          </w:tcPr>
          <w:p>
            <w:pPr>
              <w:ind w:left="80"/>
              <w:spacing w:after="0"/>
              <w:rPr>
                <w:sz w:val="20"/>
                <w:szCs w:val="20"/>
                <w:color w:val="auto"/>
              </w:rPr>
            </w:pPr>
            <w:r>
              <w:rPr>
                <w:rFonts w:ascii="Arial" w:cs="Arial" w:eastAsia="Arial" w:hAnsi="Arial"/>
                <w:sz w:val="18"/>
                <w:szCs w:val="18"/>
                <w:color w:val="auto"/>
              </w:rPr>
              <w:t>Inline XBRL Instance Document*</w:t>
            </w:r>
          </w:p>
        </w:tc>
      </w:tr>
      <w:tr>
        <w:trPr>
          <w:trHeight w:val="27"/>
        </w:trPr>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101.SCH</w:t>
            </w:r>
          </w:p>
        </w:tc>
        <w:tc>
          <w:tcPr>
            <w:tcW w:w="10120" w:type="dxa"/>
            <w:vAlign w:val="bottom"/>
            <w:tcBorders>
              <w:bottom w:val="single" w:sz="8" w:color="CCEEFF"/>
            </w:tcBorders>
            <w:gridSpan w:val="6"/>
            <w:shd w:val="clear" w:color="auto" w:fill="CCEEFF"/>
          </w:tcPr>
          <w:p>
            <w:pPr>
              <w:ind w:left="80"/>
              <w:spacing w:after="0"/>
              <w:rPr>
                <w:sz w:val="20"/>
                <w:szCs w:val="20"/>
                <w:color w:val="auto"/>
              </w:rPr>
            </w:pPr>
            <w:r>
              <w:rPr>
                <w:rFonts w:ascii="Arial" w:cs="Arial" w:eastAsia="Arial" w:hAnsi="Arial"/>
                <w:sz w:val="18"/>
                <w:szCs w:val="18"/>
                <w:color w:val="auto"/>
              </w:rPr>
              <w:t>Inline XBRL Taxonomy Extension Schema Document*</w:t>
            </w:r>
          </w:p>
        </w:tc>
      </w:tr>
      <w:tr>
        <w:trPr>
          <w:trHeight w:val="243"/>
        </w:trPr>
        <w:tc>
          <w:tcPr>
            <w:tcW w:w="180" w:type="dxa"/>
            <w:vAlign w:val="bottom"/>
          </w:tcPr>
          <w:p>
            <w:pPr>
              <w:spacing w:after="0"/>
              <w:rPr>
                <w:sz w:val="21"/>
                <w:szCs w:val="21"/>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101.CAL</w:t>
            </w:r>
          </w:p>
        </w:tc>
        <w:tc>
          <w:tcPr>
            <w:tcW w:w="10120" w:type="dxa"/>
            <w:vAlign w:val="bottom"/>
            <w:gridSpan w:val="6"/>
          </w:tcPr>
          <w:p>
            <w:pPr>
              <w:ind w:left="8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7"/>
        </w:trPr>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101.DEF</w:t>
            </w:r>
          </w:p>
        </w:tc>
        <w:tc>
          <w:tcPr>
            <w:tcW w:w="10120" w:type="dxa"/>
            <w:vAlign w:val="bottom"/>
            <w:tcBorders>
              <w:bottom w:val="single" w:sz="8" w:color="CCEEFF"/>
            </w:tcBorders>
            <w:gridSpan w:val="6"/>
            <w:shd w:val="clear" w:color="auto" w:fill="CCEEFF"/>
          </w:tcPr>
          <w:p>
            <w:pPr>
              <w:ind w:left="8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43"/>
        </w:trPr>
        <w:tc>
          <w:tcPr>
            <w:tcW w:w="180" w:type="dxa"/>
            <w:vAlign w:val="bottom"/>
          </w:tcPr>
          <w:p>
            <w:pPr>
              <w:spacing w:after="0"/>
              <w:rPr>
                <w:sz w:val="21"/>
                <w:szCs w:val="21"/>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101.LAB</w:t>
            </w:r>
          </w:p>
        </w:tc>
        <w:tc>
          <w:tcPr>
            <w:tcW w:w="10120" w:type="dxa"/>
            <w:vAlign w:val="bottom"/>
            <w:gridSpan w:val="6"/>
          </w:tcPr>
          <w:p>
            <w:pPr>
              <w:ind w:left="8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7"/>
        </w:trPr>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101.PRE</w:t>
            </w:r>
          </w:p>
        </w:tc>
        <w:tc>
          <w:tcPr>
            <w:tcW w:w="10120" w:type="dxa"/>
            <w:vAlign w:val="bottom"/>
            <w:tcBorders>
              <w:bottom w:val="single" w:sz="8" w:color="CCEEFF"/>
            </w:tcBorders>
            <w:gridSpan w:val="6"/>
            <w:shd w:val="clear" w:color="auto" w:fill="CCEEFF"/>
          </w:tcPr>
          <w:p>
            <w:pPr>
              <w:ind w:left="8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43"/>
        </w:trPr>
        <w:tc>
          <w:tcPr>
            <w:tcW w:w="180" w:type="dxa"/>
            <w:vAlign w:val="bottom"/>
          </w:tcPr>
          <w:p>
            <w:pPr>
              <w:spacing w:after="0"/>
              <w:rPr>
                <w:sz w:val="21"/>
                <w:szCs w:val="21"/>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104</w:t>
            </w:r>
          </w:p>
        </w:tc>
        <w:tc>
          <w:tcPr>
            <w:tcW w:w="10120" w:type="dxa"/>
            <w:vAlign w:val="bottom"/>
            <w:gridSpan w:val="6"/>
          </w:tcPr>
          <w:p>
            <w:pPr>
              <w:ind w:left="8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310"/>
        </w:trPr>
        <w:tc>
          <w:tcPr>
            <w:tcW w:w="6720" w:type="dxa"/>
            <w:vAlign w:val="bottom"/>
            <w:gridSpan w:val="6"/>
          </w:tcPr>
          <w:p>
            <w:pPr>
              <w:spacing w:after="0"/>
              <w:rPr>
                <w:sz w:val="20"/>
                <w:szCs w:val="20"/>
                <w:color w:val="auto"/>
              </w:rPr>
            </w:pPr>
            <w:r>
              <w:rPr>
                <w:rFonts w:ascii="Arial" w:cs="Arial" w:eastAsia="Arial" w:hAnsi="Arial"/>
                <w:sz w:val="18"/>
                <w:szCs w:val="18"/>
                <w:color w:val="auto"/>
              </w:rPr>
              <w:t>______________________________________</w:t>
            </w: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60" w:type="dxa"/>
            <w:vAlign w:val="bottom"/>
            <w:gridSpan w:val="9"/>
          </w:tcPr>
          <w:p>
            <w:pPr>
              <w:ind w:left="100"/>
              <w:spacing w:after="0"/>
              <w:rPr>
                <w:sz w:val="20"/>
                <w:szCs w:val="20"/>
                <w:color w:val="auto"/>
              </w:rPr>
            </w:pPr>
            <w:r>
              <w:rPr>
                <w:rFonts w:ascii="Arial" w:cs="Arial" w:eastAsia="Arial" w:hAnsi="Arial"/>
                <w:sz w:val="18"/>
                <w:szCs w:val="18"/>
                <w:color w:val="auto"/>
              </w:rPr>
              <w:t>Filed herewith</w:t>
            </w:r>
          </w:p>
        </w:tc>
      </w:t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60" w:type="dxa"/>
            <w:vAlign w:val="bottom"/>
            <w:gridSpan w:val="9"/>
          </w:tcPr>
          <w:p>
            <w:pPr>
              <w:ind w:left="100"/>
              <w:spacing w:after="0"/>
              <w:rPr>
                <w:sz w:val="20"/>
                <w:szCs w:val="20"/>
                <w:color w:val="auto"/>
              </w:rPr>
            </w:pPr>
            <w:r>
              <w:rPr>
                <w:rFonts w:ascii="Arial" w:cs="Arial" w:eastAsia="Arial" w:hAnsi="Arial"/>
                <w:sz w:val="18"/>
                <w:szCs w:val="18"/>
                <w:color w:val="auto"/>
              </w:rPr>
              <w:t>Electronically filed</w:t>
            </w:r>
          </w:p>
        </w:tc>
      </w:tr>
      <w:tr>
        <w:trPr>
          <w:trHeight w:val="891"/>
        </w:trPr>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0" w:type="dxa"/>
            <w:vAlign w:val="bottom"/>
            <w:gridSpan w:val="2"/>
          </w:tcPr>
          <w:p>
            <w:pPr>
              <w:jc w:val="right"/>
              <w:ind w:right="901"/>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115"/>
        </w:trPr>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MYR GROUP INC.</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(Registrant)</w:t>
      </w:r>
    </w:p>
    <w:p>
      <w:pPr>
        <w:spacing w:after="0" w:line="103" w:lineRule="exact"/>
        <w:rPr>
          <w:sz w:val="20"/>
          <w:szCs w:val="20"/>
          <w:color w:val="auto"/>
        </w:rPr>
      </w:pPr>
    </w:p>
    <w:p>
      <w:pPr>
        <w:ind w:left="20"/>
        <w:spacing w:after="0"/>
        <w:tabs>
          <w:tab w:leader="none" w:pos="5240" w:val="left"/>
        </w:tabs>
        <w:rPr>
          <w:sz w:val="20"/>
          <w:szCs w:val="20"/>
          <w:color w:val="auto"/>
        </w:rPr>
      </w:pPr>
      <w:r>
        <w:rPr>
          <w:rFonts w:ascii="Arial" w:cs="Arial" w:eastAsia="Arial" w:hAnsi="Arial"/>
          <w:sz w:val="18"/>
          <w:szCs w:val="18"/>
          <w:color w:val="auto"/>
        </w:rPr>
        <w:t>October 27, 2021</w:t>
      </w:r>
      <w:r>
        <w:rPr>
          <w:sz w:val="20"/>
          <w:szCs w:val="20"/>
          <w:color w:val="auto"/>
        </w:rPr>
        <w:tab/>
      </w:r>
      <w:r>
        <w:rPr>
          <w:rFonts w:ascii="Arial" w:cs="Arial" w:eastAsia="Arial" w:hAnsi="Arial"/>
          <w:sz w:val="16"/>
          <w:szCs w:val="16"/>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31750</wp:posOffset>
            </wp:positionV>
            <wp:extent cx="38144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5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Betty R. Johnson</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20"/>
          </w:cols>
          <w:pgMar w:left="320" w:top="125" w:right="65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S. Swartz, Jr., certify that:</w:t>
      </w:r>
    </w:p>
    <w:p>
      <w:pPr>
        <w:spacing w:after="0" w:line="22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MYR Group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1"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288"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291"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20" w:hanging="644"/>
        <w:spacing w:after="0" w:line="263" w:lineRule="auto"/>
        <w:tabs>
          <w:tab w:leader="none" w:pos="1288"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60" w:hanging="644"/>
        <w:spacing w:after="0" w:line="342" w:lineRule="auto"/>
        <w:tabs>
          <w:tab w:leader="none" w:pos="1291"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60" w:hanging="644"/>
        <w:spacing w:after="0" w:line="277" w:lineRule="auto"/>
        <w:tabs>
          <w:tab w:leader="none" w:pos="1288"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tabs>
          <w:tab w:leader="none" w:pos="6180" w:val="left"/>
        </w:tabs>
        <w:rPr>
          <w:sz w:val="20"/>
          <w:szCs w:val="20"/>
          <w:color w:val="auto"/>
        </w:rPr>
      </w:pPr>
      <w:r>
        <w:rPr>
          <w:rFonts w:ascii="Arial" w:cs="Arial" w:eastAsia="Arial" w:hAnsi="Arial"/>
          <w:sz w:val="18"/>
          <w:szCs w:val="18"/>
          <w:color w:val="auto"/>
        </w:rPr>
        <w:t>October 27, 2021</w:t>
      </w:r>
      <w:r>
        <w:rPr>
          <w:sz w:val="20"/>
          <w:szCs w:val="20"/>
          <w:color w:val="auto"/>
        </w:rPr>
        <w:tab/>
      </w:r>
      <w:r>
        <w:rPr>
          <w:rFonts w:ascii="Arial" w:cs="Arial" w:eastAsia="Arial" w:hAnsi="Arial"/>
          <w:sz w:val="16"/>
          <w:szCs w:val="16"/>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31750</wp:posOffset>
            </wp:positionV>
            <wp:extent cx="31972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9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240"/>
          </w:cols>
          <w:pgMar w:left="320" w:top="1107"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Betty R. Johnson, certify that:</w:t>
      </w:r>
    </w:p>
    <w:p>
      <w:pPr>
        <w:spacing w:after="0" w:line="225"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MYR Group Inc.;</w:t>
      </w:r>
    </w:p>
    <w:p>
      <w:pPr>
        <w:spacing w:after="0" w:line="225" w:lineRule="exact"/>
        <w:rPr>
          <w:rFonts w:ascii="Arial" w:cs="Arial" w:eastAsia="Arial" w:hAnsi="Arial"/>
          <w:sz w:val="18"/>
          <w:szCs w:val="18"/>
          <w:color w:val="auto"/>
        </w:rPr>
      </w:pPr>
    </w:p>
    <w:p>
      <w:pPr>
        <w:ind w:left="660" w:right="140" w:hanging="652"/>
        <w:spacing w:after="0" w:line="263" w:lineRule="auto"/>
        <w:tabs>
          <w:tab w:leader="none" w:pos="3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340" w:hanging="652"/>
        <w:spacing w:after="0" w:line="308" w:lineRule="auto"/>
        <w:tabs>
          <w:tab w:leader="none" w:pos="327"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3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2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291"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20" w:hanging="644"/>
        <w:spacing w:after="0" w:line="263" w:lineRule="auto"/>
        <w:tabs>
          <w:tab w:leader="none" w:pos="12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340" w:hanging="652"/>
        <w:spacing w:after="0" w:line="342" w:lineRule="auto"/>
        <w:tabs>
          <w:tab w:leader="none" w:pos="3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460" w:hanging="644"/>
        <w:spacing w:after="0" w:line="342" w:lineRule="auto"/>
        <w:tabs>
          <w:tab w:leader="none" w:pos="1291"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60" w:hanging="644"/>
        <w:spacing w:after="0" w:line="277" w:lineRule="auto"/>
        <w:tabs>
          <w:tab w:leader="none" w:pos="12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9"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October 27, 2021</w:t>
      </w:r>
      <w:r>
        <w:rPr>
          <w:sz w:val="20"/>
          <w:szCs w:val="20"/>
          <w:color w:val="auto"/>
        </w:rPr>
        <w:tab/>
      </w:r>
      <w:r>
        <w:rPr>
          <w:rFonts w:ascii="Arial" w:cs="Arial" w:eastAsia="Arial" w:hAnsi="Arial"/>
          <w:sz w:val="16"/>
          <w:szCs w:val="16"/>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31750</wp:posOffset>
            </wp:positionV>
            <wp:extent cx="35572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1107"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 Richard S. Swartz, Jr., Chief Executive Officer and President of MYR Group Inc. (the “Company”), certify, pursuant to 18 U.S.C. § 1350, as adopted pursuant to § 906 of the Sarbanes-Oxley Act of 2002, that:</w:t>
      </w:r>
    </w:p>
    <w:p>
      <w:pPr>
        <w:spacing w:after="0" w:line="170" w:lineRule="exact"/>
        <w:rPr>
          <w:sz w:val="20"/>
          <w:szCs w:val="20"/>
          <w:color w:val="auto"/>
        </w:rPr>
      </w:pPr>
    </w:p>
    <w:p>
      <w:pPr>
        <w:ind w:left="660" w:right="780" w:hanging="652"/>
        <w:spacing w:after="0" w:line="277"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Quarterly Report on Form 10-Q for the quarter and nine months ended September 30, 2021 of the Company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such report fairly presents, in all material respects, the financial condition and results of operations of the Company.</w:t>
      </w:r>
    </w:p>
    <w:p>
      <w:pPr>
        <w:spacing w:after="0" w:line="397"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October 27, 2021</w:t>
      </w:r>
      <w:r>
        <w:rPr>
          <w:sz w:val="20"/>
          <w:szCs w:val="20"/>
          <w:color w:val="auto"/>
        </w:rPr>
        <w:tab/>
      </w:r>
      <w:r>
        <w:rPr>
          <w:rFonts w:ascii="Arial" w:cs="Arial" w:eastAsia="Arial" w:hAnsi="Arial"/>
          <w:sz w:val="16"/>
          <w:szCs w:val="16"/>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31750</wp:posOffset>
            </wp:positionV>
            <wp:extent cx="35572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Executive Officer and President</w:t>
      </w:r>
    </w:p>
    <w:p>
      <w:pPr>
        <w:sectPr>
          <w:pgSz w:w="11900" w:h="16838" w:orient="portrait"/>
          <w:cols w:equalWidth="0" w:num="1">
            <w:col w:w="11240"/>
          </w:cols>
          <w:pgMar w:left="320" w:top="1107"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SECTION 906 OF THE SARBANES-OXLEY ACT OF 2002</w:t>
      </w:r>
    </w:p>
    <w:p>
      <w:pPr>
        <w:spacing w:after="0" w:line="21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I, Betty R. Johnson, Senior Vice President and Chief Financial Officer of MYR Group, Inc. (the “Company”), certify, pursuant to 18 U.S.C. § 1350, as adopted pursuant to § 906 of the Sarbanes-Oxley Act of 2002, that:</w:t>
      </w:r>
    </w:p>
    <w:p>
      <w:pPr>
        <w:spacing w:after="0" w:line="170" w:lineRule="exact"/>
        <w:rPr>
          <w:sz w:val="20"/>
          <w:szCs w:val="20"/>
          <w:color w:val="auto"/>
        </w:rPr>
      </w:pPr>
    </w:p>
    <w:p>
      <w:pPr>
        <w:ind w:left="660" w:right="780" w:hanging="652"/>
        <w:spacing w:after="0" w:line="277"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Quarterly Report on Form 10-Q for the quarter and nine months ended September 30, 2021 of the Company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such report fairly presents, in all material respects, the financial condition and results of operations of the Company.</w:t>
      </w:r>
    </w:p>
    <w:p>
      <w:pPr>
        <w:spacing w:after="0" w:line="181"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October 27, 2021</w:t>
      </w:r>
      <w:r>
        <w:rPr>
          <w:sz w:val="20"/>
          <w:szCs w:val="20"/>
          <w:color w:val="auto"/>
        </w:rPr>
        <w:tab/>
      </w:r>
      <w:r>
        <w:rPr>
          <w:rFonts w:ascii="Arial" w:cs="Arial" w:eastAsia="Arial" w:hAnsi="Arial"/>
          <w:sz w:val="17"/>
          <w:szCs w:val="17"/>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49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300"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Senior Vice President and Chief Financial Officer</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lowerLetter"/>
      <w:start w:val="4"/>
    </w:lvl>
  </w:abstractNum>
  <w:abstractNum w:abstractNumId="4">
    <w:nsid w:val="515F007C"/>
    <w:multiLevelType w:val="hybridMultilevel"/>
    <w:lvl w:ilvl="0">
      <w:lvlJc w:val="left"/>
      <w:lvlText w:val="(%1)"/>
      <w:numFmt w:val="lowerLetter"/>
      <w:start w:val="10"/>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2021-10-27T15:22:17Z</dcterms:created>
  <dcterms:modified xsi:type="dcterms:W3CDTF">2021-10-27T15:22:17Z</dcterms:modified>
</cp:coreProperties>
</file>