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Commission file number: 1-08325</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031" w:type="dxa"/>
        <w:jc w:val="center"/>
        <w:tblInd w:w="0" w:type="dxa"/>
        <w:tblLayout w:type="fixed"/>
        <w:tblCellMar>
          <w:top w:w="28" w:type="dxa"/>
          <w:left w:w="28" w:type="dxa"/>
          <w:bottom w:w="28" w:type="dxa"/>
          <w:right w:w="28" w:type="dxa"/>
        </w:tblCellMar>
      </w:tblPr>
      <w:tblGrid>
        <w:gridCol w:w="209"/>
        <w:gridCol w:w="184"/>
        <w:gridCol w:w="184"/>
        <w:gridCol w:w="267"/>
        <w:gridCol w:w="267"/>
        <w:gridCol w:w="267"/>
        <w:gridCol w:w="267"/>
        <w:gridCol w:w="267"/>
        <w:gridCol w:w="267"/>
        <w:gridCol w:w="270"/>
        <w:gridCol w:w="270"/>
        <w:gridCol w:w="270"/>
        <w:gridCol w:w="109"/>
        <w:gridCol w:w="109"/>
        <w:gridCol w:w="109"/>
        <w:gridCol w:w="791"/>
        <w:gridCol w:w="791"/>
        <w:gridCol w:w="1133"/>
      </w:tblGrid>
      <w:tr>
        <w:trPr/>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36-3158643</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12121 Grant Street,</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Thornton,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80241</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(303) 286-8000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47" w:type="dxa"/>
        <w:jc w:val="left"/>
        <w:tblInd w:w="0" w:type="dxa"/>
        <w:tblLayout w:type="fixed"/>
        <w:tblCellMar>
          <w:top w:w="28" w:type="dxa"/>
          <w:left w:w="28" w:type="dxa"/>
          <w:bottom w:w="28" w:type="dxa"/>
          <w:right w:w="28" w:type="dxa"/>
        </w:tblCellMar>
      </w:tblPr>
      <w:tblGrid>
        <w:gridCol w:w="124"/>
        <w:gridCol w:w="109"/>
        <w:gridCol w:w="109"/>
        <w:gridCol w:w="564"/>
        <w:gridCol w:w="564"/>
        <w:gridCol w:w="566"/>
        <w:gridCol w:w="109"/>
        <w:gridCol w:w="109"/>
        <w:gridCol w:w="109"/>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July 24, 2026, there were 15,569,250 outstanding shares of the registrant’s $0.01 par value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3"/>
        <w:gridCol w:w="249"/>
        <w:gridCol w:w="250"/>
        <w:gridCol w:w="2948"/>
        <w:gridCol w:w="2948"/>
        <w:gridCol w:w="2953"/>
        <w:gridCol w:w="167"/>
        <w:gridCol w:w="167"/>
        <w:gridCol w:w="24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61b7d62f63d4eb38dbe673f27c3c4da_10">
              <w:r>
                <w:rPr>
                  <w:rStyle w:val="InternetLink"/>
                  <w:rFonts w:ascii="Times New Roman;serif" w:hAnsi="Times New Roman;serif"/>
                  <w:b/>
                  <w:color w:val="0000FF"/>
                  <w:sz w:val="22"/>
                  <w:u w:val="single"/>
                </w:rPr>
                <w:t>Part I—Financial Information</w:t>
              </w:r>
            </w:hyperlink>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3">
              <w:r>
                <w:rPr>
                  <w:rStyle w:val="InternetLink"/>
                  <w:rFonts w:ascii="Times New Roman;serif" w:hAnsi="Times New Roman;serif"/>
                  <w:b w:val="false"/>
                  <w:color w:val="0000FF"/>
                  <w:sz w:val="22"/>
                  <w:u w:val="single"/>
                </w:rPr>
                <w:t>Item 1.</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3">
              <w:r>
                <w:rPr>
                  <w:rStyle w:val="InternetLink"/>
                  <w:rFonts w:ascii="Times New Roman;serif" w:hAnsi="Times New Roman;serif"/>
                  <w:b w:val="false"/>
                  <w:color w:val="0000FF"/>
                  <w:sz w:val="22"/>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3">
              <w:r>
                <w:rPr>
                  <w:rStyle w:val="InternetLink"/>
                  <w:rFonts w:ascii="Times New Roman;serif" w:hAnsi="Times New Roman;serif"/>
                  <w:b w:val="false"/>
                  <w:color w:val="0000FF"/>
                  <w:sz w:val="22"/>
                  <w:u w:val="single"/>
                </w:rPr>
                <w:t>2</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6">
              <w:r>
                <w:rPr>
                  <w:rStyle w:val="InternetLink"/>
                  <w:rFonts w:ascii="Times New Roman;serif" w:hAnsi="Times New Roman;serif"/>
                  <w:b w:val="false"/>
                  <w:color w:val="000080"/>
                  <w:sz w:val="22"/>
                  <w:u w:val="single"/>
                </w:rPr>
                <w:t xml:space="preserve">Consolidated Balance Sheets as of </w:t>
              </w:r>
            </w:hyperlink>
            <w:r>
              <w:rPr>
                <w:rFonts w:ascii="Times New Roman;serif" w:hAnsi="Times New Roman;serif"/>
                <w:b w:val="false"/>
                <w:color w:val="0000FF"/>
                <w:sz w:val="22"/>
                <w:u w:val="single"/>
              </w:rPr>
              <w:t>June 30, 2026</w:t>
            </w:r>
            <w:hyperlink w:anchor="id61b7d62f63d4eb38dbe673f27c3c4da_16">
              <w:r>
                <w:rPr>
                  <w:rStyle w:val="InternetLink"/>
                  <w:rFonts w:ascii="Times New Roman;serif" w:hAnsi="Times New Roman;serif"/>
                  <w:b w:val="false"/>
                  <w:color w:val="000080"/>
                  <w:sz w:val="22"/>
                  <w:u w:val="single"/>
                </w:rPr>
                <w:t xml:space="preserve"> (unaudited) and </w:t>
              </w:r>
            </w:hyperlink>
            <w:r>
              <w:rPr>
                <w:rFonts w:ascii="Times New Roman;serif" w:hAnsi="Times New Roman;serif"/>
                <w:b w:val="false"/>
                <w:color w:val="0000FF"/>
                <w:sz w:val="22"/>
                <w:u w:val="single"/>
              </w:rPr>
              <w:t>December 31, 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6">
              <w:r>
                <w:rPr>
                  <w:rStyle w:val="InternetLink"/>
                  <w:rFonts w:ascii="Times New Roman;serif" w:hAnsi="Times New Roman;serif"/>
                  <w:b w:val="false"/>
                  <w:color w:val="0000FF"/>
                  <w:sz w:val="22"/>
                  <w:u w:val="single"/>
                </w:rPr>
                <w:t>2</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9">
              <w:r>
                <w:rPr>
                  <w:rStyle w:val="InternetLink"/>
                  <w:rFonts w:ascii="Times New Roman;serif" w:hAnsi="Times New Roman;serif"/>
                  <w:b w:val="false"/>
                  <w:color w:val="000080"/>
                  <w:sz w:val="22"/>
                  <w:u w:val="single"/>
                </w:rPr>
                <w:t xml:space="preserve">Unaudited Consolidated Statements of Operations and Comprehensive Income for the </w:t>
              </w:r>
            </w:hyperlink>
            <w:r>
              <w:rPr>
                <w:rFonts w:ascii="Times New Roman;serif" w:hAnsi="Times New Roman;serif"/>
                <w:b w:val="false"/>
                <w:color w:val="0000FF"/>
                <w:sz w:val="22"/>
                <w:u w:val="single"/>
              </w:rPr>
              <w:t>Three and Six</w:t>
            </w:r>
            <w:hyperlink w:anchor="id61b7d62f63d4eb38dbe673f27c3c4da_19">
              <w:r>
                <w:rPr>
                  <w:rStyle w:val="InternetLink"/>
                  <w:rFonts w:ascii="Times New Roman;serif" w:hAnsi="Times New Roman;serif"/>
                  <w:b w:val="false"/>
                  <w:color w:val="000080"/>
                  <w:sz w:val="22"/>
                  <w:u w:val="single"/>
                </w:rPr>
                <w:t xml:space="preserve"> Months Ended </w:t>
              </w:r>
            </w:hyperlink>
            <w:r>
              <w:rPr>
                <w:rFonts w:ascii="Times New Roman;serif" w:hAnsi="Times New Roman;serif"/>
                <w:b w:val="false"/>
                <w:color w:val="0000FF"/>
                <w:sz w:val="22"/>
                <w:u w:val="single"/>
              </w:rPr>
              <w:t>June 30, 2026</w:t>
            </w:r>
            <w:hyperlink w:anchor="id61b7d62f63d4eb38dbe673f27c3c4da_19">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2025</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9">
              <w:r>
                <w:rPr>
                  <w:rStyle w:val="InternetLink"/>
                  <w:rFonts w:ascii="Times New Roman;serif" w:hAnsi="Times New Roman;serif"/>
                  <w:b w:val="false"/>
                  <w:color w:val="0000FF"/>
                  <w:sz w:val="22"/>
                  <w:u w:val="single"/>
                </w:rPr>
                <w:t>3</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22">
              <w:r>
                <w:rPr>
                  <w:rStyle w:val="InternetLink"/>
                  <w:rFonts w:ascii="Times New Roman;serif" w:hAnsi="Times New Roman;serif"/>
                  <w:b w:val="false"/>
                  <w:color w:val="000080"/>
                  <w:sz w:val="22"/>
                  <w:u w:val="single"/>
                </w:rPr>
                <w:t>Unaudited Consolidated Statements of S</w:t>
              </w:r>
            </w:hyperlink>
            <w:r>
              <w:rPr>
                <w:rFonts w:ascii="Times New Roman;serif" w:hAnsi="Times New Roman;serif"/>
                <w:b w:val="false"/>
                <w:color w:val="0000FF"/>
                <w:sz w:val="22"/>
                <w:u w:val="single"/>
              </w:rPr>
              <w:t>hareholder</w:t>
            </w:r>
            <w:hyperlink w:anchor="id61b7d62f63d4eb38dbe673f27c3c4da_22">
              <w:r>
                <w:rPr>
                  <w:rStyle w:val="InternetLink"/>
                  <w:rFonts w:ascii="Times New Roman;serif" w:hAnsi="Times New Roman;serif"/>
                  <w:b w:val="false"/>
                  <w:color w:val="000080"/>
                  <w:sz w:val="22"/>
                  <w:u w:val="single"/>
                </w:rPr>
                <w:t xml:space="preserve">s’ Equity for the </w:t>
              </w:r>
            </w:hyperlink>
            <w:r>
              <w:rPr>
                <w:rFonts w:ascii="Times New Roman;serif" w:hAnsi="Times New Roman;serif"/>
                <w:b w:val="false"/>
                <w:color w:val="0000FF"/>
                <w:sz w:val="22"/>
                <w:u w:val="single"/>
              </w:rPr>
              <w:t>Three and Six</w:t>
            </w:r>
            <w:hyperlink w:anchor="id61b7d62f63d4eb38dbe673f27c3c4da_22">
              <w:r>
                <w:rPr>
                  <w:rStyle w:val="InternetLink"/>
                  <w:rFonts w:ascii="Times New Roman;serif" w:hAnsi="Times New Roman;serif"/>
                  <w:b w:val="false"/>
                  <w:color w:val="000080"/>
                  <w:sz w:val="22"/>
                  <w:u w:val="single"/>
                </w:rPr>
                <w:t xml:space="preserve"> Months Ended </w:t>
              </w:r>
            </w:hyperlink>
            <w:r>
              <w:rPr>
                <w:rFonts w:ascii="Times New Roman;serif" w:hAnsi="Times New Roman;serif"/>
                <w:b w:val="false"/>
                <w:color w:val="0000FF"/>
                <w:sz w:val="22"/>
                <w:u w:val="single"/>
              </w:rPr>
              <w:t>June 30, 2026</w:t>
            </w:r>
            <w:hyperlink w:anchor="id61b7d62f63d4eb38dbe673f27c3c4da_22">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22">
              <w:r>
                <w:rPr>
                  <w:rStyle w:val="InternetLink"/>
                  <w:rFonts w:ascii="Times New Roman;serif" w:hAnsi="Times New Roman;serif"/>
                  <w:b w:val="false"/>
                  <w:color w:val="0000FF"/>
                  <w:sz w:val="22"/>
                  <w:u w:val="single"/>
                </w:rPr>
                <w:t>4</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25">
              <w:r>
                <w:rPr>
                  <w:rStyle w:val="InternetLink"/>
                  <w:rFonts w:ascii="Times New Roman;serif" w:hAnsi="Times New Roman;serif"/>
                  <w:b w:val="false"/>
                  <w:color w:val="000080"/>
                  <w:sz w:val="22"/>
                  <w:u w:val="single"/>
                </w:rPr>
                <w:t xml:space="preserve">Unaudited Consolidated Statements of Cash Flows for the </w:t>
              </w:r>
            </w:hyperlink>
            <w:r>
              <w:rPr>
                <w:rFonts w:ascii="Times New Roman;serif" w:hAnsi="Times New Roman;serif"/>
                <w:b w:val="false"/>
                <w:color w:val="0000FF"/>
                <w:sz w:val="22"/>
                <w:u w:val="single"/>
              </w:rPr>
              <w:t>Six Months Ended</w:t>
            </w:r>
            <w:hyperlink w:anchor="id61b7d62f63d4eb38dbe673f27c3c4da_25">
              <w:r>
                <w:rPr>
                  <w:rStyle w:val="InternetLink"/>
                  <w:rFonts w:ascii="Times New Roman;serif" w:hAnsi="Times New Roman;serif"/>
                  <w:b w:val="false"/>
                  <w:color w:val="000080"/>
                  <w:sz w:val="22"/>
                  <w:u w:val="single"/>
                </w:rPr>
                <w:t xml:space="preserve"> </w:t>
              </w:r>
            </w:hyperlink>
            <w:r>
              <w:rPr>
                <w:rFonts w:ascii="Times New Roman;serif" w:hAnsi="Times New Roman;serif"/>
                <w:b w:val="false"/>
                <w:color w:val="0000FF"/>
                <w:sz w:val="22"/>
                <w:u w:val="single"/>
              </w:rPr>
              <w:t>June 30, 2026</w:t>
            </w:r>
            <w:hyperlink w:anchor="id61b7d62f63d4eb38dbe673f27c3c4da_25">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2025</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25">
              <w:r>
                <w:rPr>
                  <w:rStyle w:val="InternetLink"/>
                  <w:rFonts w:ascii="Times New Roman;serif" w:hAnsi="Times New Roman;serif"/>
                  <w:b w:val="false"/>
                  <w:color w:val="0000FF"/>
                  <w:sz w:val="22"/>
                  <w:u w:val="single"/>
                </w:rPr>
                <w:t>5</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28">
              <w:r>
                <w:rPr>
                  <w:rStyle w:val="InternetLink"/>
                  <w:rFonts w:ascii="Times New Roman;serif" w:hAnsi="Times New Roman;serif"/>
                  <w:b w:val="false"/>
                  <w:color w:val="0000FF"/>
                  <w:sz w:val="22"/>
                  <w:u w:val="single"/>
                </w:rPr>
                <w:t>Notes to Unaudited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28">
              <w:r>
                <w:rPr>
                  <w:rStyle w:val="InternetLink"/>
                  <w:rFonts w:ascii="Times New Roman;serif" w:hAnsi="Times New Roman;serif"/>
                  <w:b w:val="false"/>
                  <w:color w:val="0000FF"/>
                  <w:sz w:val="22"/>
                  <w:u w:val="single"/>
                </w:rPr>
                <w:t>6</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d61b7d62f63d4eb38dbe673f27c3c4da_106">
              <w:r>
                <w:rPr>
                  <w:rStyle w:val="InternetLink"/>
                  <w:rFonts w:ascii="Times New Roman;serif" w:hAnsi="Times New Roman;serif"/>
                  <w:b w:val="false"/>
                  <w:color w:val="0000FF"/>
                  <w:sz w:val="22"/>
                  <w:u w:val="single"/>
                </w:rPr>
                <w:t>Item 2.</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06">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06">
              <w:r>
                <w:rPr>
                  <w:rStyle w:val="InternetLink"/>
                  <w:rFonts w:ascii="Times New Roman;serif" w:hAnsi="Times New Roman;serif"/>
                  <w:b w:val="false"/>
                  <w:color w:val="0000FF"/>
                  <w:sz w:val="22"/>
                  <w:u w:val="single"/>
                </w:rPr>
                <w:t>22</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d61b7d62f63d4eb38dbe673f27c3c4da_160">
              <w:r>
                <w:rPr>
                  <w:rStyle w:val="InternetLink"/>
                  <w:rFonts w:ascii="Times New Roman;serif" w:hAnsi="Times New Roman;serif"/>
                  <w:b w:val="false"/>
                  <w:color w:val="0000FF"/>
                  <w:sz w:val="22"/>
                  <w:u w:val="single"/>
                </w:rPr>
                <w:t>Item 3.</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60">
              <w:r>
                <w:rPr>
                  <w:rStyle w:val="InternetLink"/>
                  <w:rFonts w:ascii="Times New Roman;serif" w:hAnsi="Times New Roman;serif"/>
                  <w:b w:val="false"/>
                  <w:color w:val="0000FF"/>
                  <w:sz w:val="22"/>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60">
              <w:r>
                <w:rPr>
                  <w:rStyle w:val="InternetLink"/>
                  <w:rFonts w:ascii="Times New Roman;serif" w:hAnsi="Times New Roman;serif"/>
                  <w:b w:val="false"/>
                  <w:color w:val="0000FF"/>
                  <w:sz w:val="22"/>
                  <w:u w:val="single"/>
                </w:rPr>
                <w:t>35</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d61b7d62f63d4eb38dbe673f27c3c4da_166">
              <w:r>
                <w:rPr>
                  <w:rStyle w:val="InternetLink"/>
                  <w:rFonts w:ascii="Times New Roman;serif" w:hAnsi="Times New Roman;serif"/>
                  <w:b w:val="false"/>
                  <w:color w:val="0000FF"/>
                  <w:sz w:val="22"/>
                  <w:u w:val="single"/>
                </w:rPr>
                <w:t>Item 4.</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66">
              <w:r>
                <w:rPr>
                  <w:rStyle w:val="InternetLink"/>
                  <w:rFonts w:ascii="Times New Roman;serif" w:hAnsi="Times New Roman;serif"/>
                  <w:b w:val="false"/>
                  <w:color w:val="0000FF"/>
                  <w:sz w:val="22"/>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66">
              <w:r>
                <w:rPr>
                  <w:rStyle w:val="InternetLink"/>
                  <w:rFonts w:ascii="Times New Roman;serif" w:hAnsi="Times New Roman;serif"/>
                  <w:b w:val="false"/>
                  <w:color w:val="0000FF"/>
                  <w:sz w:val="22"/>
                  <w:u w:val="single"/>
                </w:rPr>
                <w:t>35</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61b7d62f63d4eb38dbe673f27c3c4da_169">
              <w:r>
                <w:rPr>
                  <w:rStyle w:val="InternetLink"/>
                  <w:rFonts w:ascii="Times New Roman;serif" w:hAnsi="Times New Roman;serif"/>
                  <w:b/>
                  <w:color w:val="0000FF"/>
                  <w:sz w:val="22"/>
                  <w:u w:val="single"/>
                </w:rPr>
                <w:t>Part II—Other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d61b7d62f63d4eb38dbe673f27c3c4da_172">
              <w:r>
                <w:rPr>
                  <w:rStyle w:val="InternetLink"/>
                  <w:rFonts w:ascii="Times New Roman;serif" w:hAnsi="Times New Roman;serif"/>
                  <w:b w:val="false"/>
                  <w:color w:val="0000FF"/>
                  <w:sz w:val="22"/>
                  <w:u w:val="single"/>
                </w:rPr>
                <w:t>Item 1.</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72">
              <w:r>
                <w:rPr>
                  <w:rStyle w:val="InternetLink"/>
                  <w:rFonts w:ascii="Times New Roman;serif" w:hAnsi="Times New Roman;serif"/>
                  <w:b w:val="false"/>
                  <w:color w:val="0000FF"/>
                  <w:sz w:val="22"/>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72">
              <w:r>
                <w:rPr>
                  <w:rStyle w:val="InternetLink"/>
                  <w:rFonts w:ascii="Times New Roman;serif" w:hAnsi="Times New Roman;serif"/>
                  <w:b w:val="false"/>
                  <w:color w:val="0000FF"/>
                  <w:sz w:val="22"/>
                  <w:u w:val="single"/>
                </w:rPr>
                <w:t>36</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d61b7d62f63d4eb38dbe673f27c3c4da_175">
              <w:r>
                <w:rPr>
                  <w:rStyle w:val="InternetLink"/>
                  <w:rFonts w:ascii="Times New Roman;serif" w:hAnsi="Times New Roman;serif"/>
                  <w:b w:val="false"/>
                  <w:color w:val="0000FF"/>
                  <w:sz w:val="22"/>
                  <w:u w:val="single"/>
                </w:rPr>
                <w:t>Item 1A.</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75">
              <w:r>
                <w:rPr>
                  <w:rStyle w:val="InternetLink"/>
                  <w:rFonts w:ascii="Times New Roman;serif" w:hAnsi="Times New Roman;serif"/>
                  <w:b w:val="false"/>
                  <w:color w:val="0000FF"/>
                  <w:sz w:val="22"/>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75">
              <w:r>
                <w:rPr>
                  <w:rStyle w:val="InternetLink"/>
                  <w:rFonts w:ascii="Times New Roman;serif" w:hAnsi="Times New Roman;serif"/>
                  <w:b w:val="false"/>
                  <w:color w:val="0000FF"/>
                  <w:sz w:val="22"/>
                  <w:u w:val="single"/>
                </w:rPr>
                <w:t>36</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d61b7d62f63d4eb38dbe673f27c3c4da_178">
              <w:r>
                <w:rPr>
                  <w:rStyle w:val="InternetLink"/>
                  <w:rFonts w:ascii="Times New Roman;serif" w:hAnsi="Times New Roman;serif"/>
                  <w:b w:val="false"/>
                  <w:color w:val="0000FF"/>
                  <w:sz w:val="22"/>
                  <w:u w:val="single"/>
                </w:rPr>
                <w:t>Item 2.</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78">
              <w:r>
                <w:rPr>
                  <w:rStyle w:val="InternetLink"/>
                  <w:rFonts w:ascii="Times New Roman;serif" w:hAnsi="Times New Roman;serif"/>
                  <w:b w:val="false"/>
                  <w:color w:val="0000FF"/>
                  <w:sz w:val="22"/>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78">
              <w:r>
                <w:rPr>
                  <w:rStyle w:val="InternetLink"/>
                  <w:rFonts w:ascii="Times New Roman;serif" w:hAnsi="Times New Roman;serif"/>
                  <w:b w:val="false"/>
                  <w:color w:val="0000FF"/>
                  <w:sz w:val="22"/>
                  <w:u w:val="single"/>
                </w:rPr>
                <w:t>36</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d61b7d62f63d4eb38dbe673f27c3c4da_184">
              <w:r>
                <w:rPr>
                  <w:rStyle w:val="InternetLink"/>
                  <w:rFonts w:ascii="Times New Roman;serif" w:hAnsi="Times New Roman;serif"/>
                  <w:b w:val="false"/>
                  <w:color w:val="0000FF"/>
                  <w:sz w:val="22"/>
                  <w:u w:val="single"/>
                </w:rPr>
                <w:t>Item 5.</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84">
              <w:r>
                <w:rPr>
                  <w:rStyle w:val="InternetLink"/>
                  <w:rFonts w:ascii="Times New Roman;serif" w:hAnsi="Times New Roman;serif"/>
                  <w:b w:val="false"/>
                  <w:color w:val="0000FF"/>
                  <w:sz w:val="22"/>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84">
              <w:r>
                <w:rPr>
                  <w:rStyle w:val="InternetLink"/>
                  <w:rFonts w:ascii="Times New Roman;serif" w:hAnsi="Times New Roman;serif"/>
                  <w:b w:val="false"/>
                  <w:color w:val="0000FF"/>
                  <w:sz w:val="22"/>
                  <w:u w:val="single"/>
                </w:rPr>
                <w:t>36</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d61b7d62f63d4eb38dbe673f27c3c4da_187">
              <w:r>
                <w:rPr>
                  <w:rStyle w:val="InternetLink"/>
                  <w:rFonts w:ascii="Times New Roman;serif" w:hAnsi="Times New Roman;serif"/>
                  <w:b w:val="false"/>
                  <w:color w:val="0000FF"/>
                  <w:sz w:val="22"/>
                  <w:u w:val="single"/>
                </w:rPr>
                <w:t>Item 6.</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61b7d62f63d4eb38dbe673f27c3c4da_187">
              <w:r>
                <w:rPr>
                  <w:rStyle w:val="InternetLink"/>
                  <w:rFonts w:ascii="Times New Roman;serif" w:hAnsi="Times New Roman;serif"/>
                  <w:b w:val="false"/>
                  <w:color w:val="0000FF"/>
                  <w:sz w:val="22"/>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1b7d62f63d4eb38dbe673f27c3c4da_187">
              <w:r>
                <w:rPr>
                  <w:rStyle w:val="InternetLink"/>
                  <w:rFonts w:ascii="Times New Roman;serif" w:hAnsi="Times New Roman;serif"/>
                  <w:b w:val="false"/>
                  <w:color w:val="0000FF"/>
                  <w:sz w:val="22"/>
                  <w:u w:val="single"/>
                </w:rPr>
                <w:t>37</w:t>
              </w:r>
            </w:hyperlink>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report, references to “MYR Group,” the “Company,” “we,” “us” and “our” refer to MYR Group Inc. and its consolidated subsidiaries, except as otherwise indicated or as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17"/>
        <w:gridCol w:w="2165"/>
        <w:gridCol w:w="2171"/>
        <w:gridCol w:w="109"/>
        <w:gridCol w:w="109"/>
        <w:gridCol w:w="109"/>
        <w:gridCol w:w="196"/>
        <w:gridCol w:w="871"/>
        <w:gridCol w:w="109"/>
        <w:gridCol w:w="109"/>
        <w:gridCol w:w="109"/>
        <w:gridCol w:w="109"/>
        <w:gridCol w:w="196"/>
        <w:gridCol w:w="871"/>
        <w:gridCol w:w="155"/>
      </w:tblGrid>
      <w:tr>
        <w:trPr/>
        <w:tc>
          <w:tcPr>
            <w:tcW w:w="281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allowances of $2,190 and $934,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603,735 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net of allowances of $514 and $534,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241,766 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1,077,626 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1,060,761 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$435,570 and $413,962,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 of $41,854 and $39,967,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1,644,079 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117,923 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795,277 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918,048 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983,656 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stock—$0.01 par value per share; 4,000,000 authorized shares; none issued and outstanding at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stock—$0.01 par value per share; 100,000,000 authorized shares; 15,569,250 and 15,522,834 shares issued and outstanding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660,423 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1,644,079 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1555"/>
        <w:gridCol w:w="1129"/>
        <w:gridCol w:w="1133"/>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5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1,533,333 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SHAREHOLDERS’ EQUITY</w:t>
      </w:r>
    </w:p>
    <w:p>
      <w:pPr>
        <w:pStyle w:val="TextBody"/>
        <w:bidi w:val="0"/>
        <w:spacing w:before="240" w:after="283"/>
        <w:jc w:val="center"/>
        <w:rPr/>
      </w:pPr>
      <w:r>
        <w:rPr/>
      </w:r>
    </w:p>
    <w:tbl>
      <w:tblPr>
        <w:tblW w:w="10819"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227"/>
        <w:gridCol w:w="471"/>
        <w:gridCol w:w="128"/>
        <w:gridCol w:w="109"/>
        <w:gridCol w:w="109"/>
        <w:gridCol w:w="109"/>
        <w:gridCol w:w="323"/>
        <w:gridCol w:w="323"/>
        <w:gridCol w:w="211"/>
        <w:gridCol w:w="109"/>
        <w:gridCol w:w="109"/>
        <w:gridCol w:w="109"/>
        <w:gridCol w:w="202"/>
        <w:gridCol w:w="435"/>
        <w:gridCol w:w="114"/>
        <w:gridCol w:w="109"/>
        <w:gridCol w:w="109"/>
        <w:gridCol w:w="109"/>
        <w:gridCol w:w="196"/>
        <w:gridCol w:w="736"/>
        <w:gridCol w:w="109"/>
        <w:gridCol w:w="109"/>
        <w:gridCol w:w="109"/>
        <w:gridCol w:w="109"/>
        <w:gridCol w:w="264"/>
        <w:gridCol w:w="893"/>
        <w:gridCol w:w="149"/>
        <w:gridCol w:w="109"/>
        <w:gridCol w:w="109"/>
        <w:gridCol w:w="109"/>
        <w:gridCol w:w="196"/>
        <w:gridCol w:w="736"/>
        <w:gridCol w:w="109"/>
        <w:gridCol w:w="109"/>
        <w:gridCol w:w="109"/>
        <w:gridCol w:w="109"/>
        <w:gridCol w:w="109"/>
        <w:gridCol w:w="109"/>
        <w:gridCol w:w="109"/>
        <w:gridCol w:w="109"/>
        <w:gridCol w:w="196"/>
        <w:gridCol w:w="73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 under 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548,672 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583,234 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on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(11,127)</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754,417 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tbl>
      <w:tblPr>
        <w:tblW w:w="8930" w:type="dxa"/>
        <w:jc w:val="left"/>
        <w:tblInd w:w="0" w:type="dxa"/>
        <w:tblLayout w:type="fixed"/>
        <w:tblCellMar>
          <w:top w:w="28" w:type="dxa"/>
          <w:left w:w="28" w:type="dxa"/>
          <w:bottom w:w="28" w:type="dxa"/>
          <w:right w:w="28" w:type="dxa"/>
        </w:tblCellMar>
      </w:tblPr>
      <w:tblGrid>
        <w:gridCol w:w="2257"/>
        <w:gridCol w:w="1989"/>
        <w:gridCol w:w="1993"/>
        <w:gridCol w:w="109"/>
        <w:gridCol w:w="109"/>
        <w:gridCol w:w="109"/>
        <w:gridCol w:w="196"/>
        <w:gridCol w:w="736"/>
        <w:gridCol w:w="109"/>
        <w:gridCol w:w="109"/>
        <w:gridCol w:w="109"/>
        <w:gridCol w:w="109"/>
        <w:gridCol w:w="196"/>
        <w:gridCol w:w="646"/>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1. Organization, Business and Basis of Presentation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data centers, clean energy projects, airports, hospitals, hotels, commercial and industrial facilities, manufacturing plants, processing facilities, water/waste-water treatment facilities, mining facilities, intelligent transportation systems, roadway lighting, signalization, stadiums and electric vehicle charging infrastructure.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Consolidated Financial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(loss), shareholders’ equity and cash flows with respect to the interim consolidated financial statements, have been included. Certain reclassifications were made to prior year amounts to conform to the current year presentation. The consolidated balance sheet as of December 31, 2025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2025, included in the Company’s Annual Report on Form 10-K, which was filed with the SEC on February 25, 2026 (the "2025 Annual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most significant estimates are related to estimates of costs to complete contracts, variable consideration inclusive of pending change orders and claims, shared savings, useful lives of property and equipment, insurance reserves, the recognition and measurement of current and deferred income taxes, including the measurement of certain tax positions,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measured based on our historical experience with individual customers and similar contracts, and are evaluated by management individually. The Company includes these estimated amounts of variable consideration to the extent that it is probable there will not be a significant reversal of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 Company’s contracts may have contract terms that include variable consideration such as safety or performance bonuses or liquidated damages.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exercises restraint in recognizing revenue on variable consideration. The Company often enters into contracts that contain liquidated damage clauses. The Company does not include amounts associated with liquidated damage clauses until it is probable that liquidated damages will occur. These items are continually monitored by multiple levels of management throughout the reporting period.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recognized revenues of $11.9 million and $23.5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cost-to-cost method of accounting requires the Company to make estimates about the expected revenue and gross profit on each of its contracts in process. During the three months ended June 30, 2026, net changes in estimates pertaining to certain projects increased consolidated gross margin by 0.9%, which resulted in increases in operating income of $9.8 million, net income of $6.0 million and diluted earnings per common share of $0.38. During the six months ended June 30, 2026, changes in estimates pertaining to certain projects increased consolidated gross margin by 0.7% and resulted in increases in operating income of $14.7 million, net income of $7.1 million and diluted earnings per common share of $0.45. Additional discussion on the impact of these estimate changes can be found in Item 2, “Management’s Discussion and Analysis of Financial Condition and Results of Operations - Consolidated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net changes in estimates pertaining to certain projects decreased consolidated gross margin by 1.0%, which resulted in decreases in operating income of $8.9 million, net income of $6.7 million and diluted earnings per common share of $0.43. During the six months ended June 30, 2025, changes in estimates pertaining to certain projects decreased consolidated gross margin by 1.2% and resulted in decreases in operating income of $21.3 million, net income of $15.7 million and diluted earnings per common share of $0.99.</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net” line on the Company’s consolidated statements of operations. Foreign currency losses, recorded in other income, net, for the three months ended June 30, 2026 and 2025 were $1.0 million and $0.5 million, respectively. Foreign currency losses, recorded in other income, net, for the six months ended June 30, 2026 and 2025 were $2.0 million and $0.8 million, respectively.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which introduces a practical expedient for estimating expected credit losses on current accounts receivable and current contract assets arising from transactions under Topic 606. The practical expedient allows entities to assume that current conditions as of the balance sheet date would not change for the remaining life of the asset when evaluating expected credit losses. This standard is effective for the Company for the annual and interim periods beginning after December 15, 2025, with early adoption permitted, and should be applied prospectively. The Company elected to adopt this practical expedient on January 1, 2026, on a prospective basis. This election did not have a material impact on our consolidated financial statements and related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which requires the disaggregation of certain expenses in the notes of the financials, to provide enhanced transparency into the expense captions presented on the face of the income statement. The guidance will require disclosure of certain costs and expenses on an interim and annual basis in the notes to the consolidated financial statements. The update is effective for annual reporting periods beginning after December 15, 2026 and interim periods within annual reporting periods beginning after December 15, 2027, with early adoption permitted. The amendments in this pronouncement should be applied either (i) prospectively to financial statements issued for reporting periods after the effective date or (ii) retrospectively to any or all prior periods presented in the financial statements. The Company is currently evaluating the impact of the new standard on the Company’s consolidated financial statements and related disclosures.</w:t>
      </w:r>
    </w:p>
    <w:p>
      <w:pPr>
        <w:pStyle w:val="TextBody"/>
        <w:bidi w:val="0"/>
        <w:spacing w:lineRule="auto" w:line="288" w:before="160" w:after="283"/>
        <w:ind w:left="0" w:right="0" w:firstLine="720"/>
        <w:jc w:val="left"/>
        <w:rPr/>
      </w:pPr>
      <w:r>
        <w:rPr>
          <w:rFonts w:ascii="Times New Roman;serif" w:hAnsi="Times New Roman;serif"/>
          <w:b w:val="false"/>
          <w:color w:val="000000"/>
          <w:sz w:val="20"/>
        </w:rPr>
        <w:t>In December 2025, the FASB issued ASU No. 2025-11,</w:t>
      </w:r>
      <w:r>
        <w:rPr>
          <w:color w:val="000000"/>
        </w:rPr>
        <w:t xml:space="preserve">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is intended to clarify the applicability of interim disclosure requirements, provides additional guidance on the disclosures required in interim reporting periods, and introduces a principle requiring entities to disclose events occurring since the end of the most recent annual reporting period that have a material impact on the entity. The update is effective for interim reporting periods within annual reporting periods beginning after December 15, 2027, with early adoption permitted. The amendments in this pronouncement can be applied either prospectively or retrospectively to any or all prior periods presented in the financial statements. The Company is currently evaluating the impact of the new standard on the Company’s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Contract Assets and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 Retainage amounts are reflected in contract assets or contract liabilities depending on the net contract position of the particular contract.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June 30, 2026 and December 31, 2025,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consisted of the following:</w:t>
      </w:r>
    </w:p>
    <w:tbl>
      <w:tblPr>
        <w:tblW w:w="5249"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retainages,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liabilities that contain deferred revenue, an accrual for contracts in a loss provision and retainage receivables.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consisted of the following:</w:t>
      </w:r>
    </w:p>
    <w:tbl>
      <w:tblPr>
        <w:tblW w:w="5488" w:type="dxa"/>
        <w:jc w:val="left"/>
        <w:tblInd w:w="0" w:type="dxa"/>
        <w:tblLayout w:type="fixed"/>
        <w:tblCellMar>
          <w:top w:w="28" w:type="dxa"/>
          <w:left w:w="28" w:type="dxa"/>
          <w:bottom w:w="28" w:type="dxa"/>
          <w:right w:w="28" w:type="dxa"/>
        </w:tblCellMar>
      </w:tblPr>
      <w:tblGrid>
        <w:gridCol w:w="824"/>
        <w:gridCol w:w="726"/>
        <w:gridCol w:w="729"/>
        <w:gridCol w:w="109"/>
        <w:gridCol w:w="109"/>
        <w:gridCol w:w="109"/>
        <w:gridCol w:w="211"/>
        <w:gridCol w:w="826"/>
        <w:gridCol w:w="109"/>
        <w:gridCol w:w="109"/>
        <w:gridCol w:w="109"/>
        <w:gridCol w:w="109"/>
        <w:gridCol w:w="211"/>
        <w:gridCol w:w="826"/>
        <w:gridCol w:w="109"/>
        <w:gridCol w:w="109"/>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loss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retainage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w:t>
      </w:r>
    </w:p>
    <w:tbl>
      <w:tblPr>
        <w:tblW w:w="6998"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$78.2 million and $153.9 million for the three and six months ended June 30, 2026, respectively. The amounts of revenue recognized in the period that were included in the opening contract liability balances were $48.2 million and $117.7 million for the three and six months ended June 30, 2025, respectively. This revenue consists primarily of work performed on previous billings to customers.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liability position for contracts in process consisted of the following:</w:t>
      </w:r>
    </w:p>
    <w:tbl>
      <w:tblPr>
        <w:tblW w:w="7910" w:type="dxa"/>
        <w:jc w:val="left"/>
        <w:tblInd w:w="0" w:type="dxa"/>
        <w:tblLayout w:type="fixed"/>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billings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8,593,893 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liability position for contracts in process is included within the contract asset and contract liability in the accompanying consolidated balance sheets as follows:</w:t>
      </w:r>
    </w:p>
    <w:tbl>
      <w:tblPr>
        <w:tblW w:w="5015" w:type="dxa"/>
        <w:jc w:val="left"/>
        <w:tblInd w:w="0" w:type="dxa"/>
        <w:tblLayout w:type="fixed"/>
        <w:tblCellMar>
          <w:top w:w="28" w:type="dxa"/>
          <w:left w:w="28" w:type="dxa"/>
          <w:bottom w:w="28" w:type="dxa"/>
          <w:right w:w="28" w:type="dxa"/>
        </w:tblCellMar>
      </w:tblPr>
      <w:tblGrid>
        <w:gridCol w:w="678"/>
        <w:gridCol w:w="597"/>
        <w:gridCol w:w="599"/>
        <w:gridCol w:w="109"/>
        <w:gridCol w:w="109"/>
        <w:gridCol w:w="109"/>
        <w:gridCol w:w="211"/>
        <w:gridCol w:w="901"/>
        <w:gridCol w:w="109"/>
        <w:gridCol w:w="109"/>
        <w:gridCol w:w="109"/>
        <w:gridCol w:w="109"/>
        <w:gridCol w:w="211"/>
        <w:gridCol w:w="90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Lease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June 30, 2026,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lease-related assets and liabilities recorded:</w:t>
      </w:r>
    </w:p>
    <w:tbl>
      <w:tblPr>
        <w:tblW w:w="10205" w:type="dxa"/>
        <w:jc w:val="left"/>
        <w:tblInd w:w="0" w:type="dxa"/>
        <w:tblLayout w:type="fixed"/>
        <w:tblCellMar>
          <w:top w:w="28" w:type="dxa"/>
          <w:left w:w="28" w:type="dxa"/>
          <w:bottom w:w="28" w:type="dxa"/>
          <w:right w:w="28" w:type="dxa"/>
        </w:tblCellMar>
      </w:tblPr>
      <w:tblGrid>
        <w:gridCol w:w="976"/>
        <w:gridCol w:w="857"/>
        <w:gridCol w:w="851"/>
        <w:gridCol w:w="109"/>
        <w:gridCol w:w="109"/>
        <w:gridCol w:w="109"/>
        <w:gridCol w:w="1457"/>
        <w:gridCol w:w="1451"/>
        <w:gridCol w:w="1454"/>
        <w:gridCol w:w="109"/>
        <w:gridCol w:w="109"/>
        <w:gridCol w:w="109"/>
        <w:gridCol w:w="211"/>
        <w:gridCol w:w="721"/>
        <w:gridCol w:w="109"/>
        <w:gridCol w:w="109"/>
        <w:gridCol w:w="109"/>
        <w:gridCol w:w="109"/>
        <w:gridCol w:w="219"/>
        <w:gridCol w:w="753"/>
        <w:gridCol w:w="165"/>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lease terms and discount rates:</w:t>
      </w:r>
    </w:p>
    <w:tbl>
      <w:tblPr>
        <w:tblW w:w="7124" w:type="dxa"/>
        <w:jc w:val="left"/>
        <w:tblInd w:w="0" w:type="dxa"/>
        <w:tblLayout w:type="fixed"/>
        <w:tblCellMar>
          <w:top w:w="28" w:type="dxa"/>
          <w:left w:w="28" w:type="dxa"/>
          <w:bottom w:w="28" w:type="dxa"/>
          <w:right w:w="28" w:type="dxa"/>
        </w:tblCellMar>
      </w:tblPr>
      <w:tblGrid>
        <w:gridCol w:w="1734"/>
        <w:gridCol w:w="1522"/>
        <w:gridCol w:w="1528"/>
        <w:gridCol w:w="232"/>
        <w:gridCol w:w="183"/>
        <w:gridCol w:w="459"/>
        <w:gridCol w:w="109"/>
        <w:gridCol w:w="109"/>
        <w:gridCol w:w="109"/>
        <w:gridCol w:w="231"/>
        <w:gridCol w:w="231"/>
        <w:gridCol w:w="677"/>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finance leases</w:t>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years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4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certain information related to the lease costs for finance and operating leases:</w:t>
      </w:r>
    </w:p>
    <w:tbl>
      <w:tblPr>
        <w:tblW w:w="8111"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other information and supplemental cash flow information related to finance and operating leases:</w:t>
      </w:r>
    </w:p>
    <w:tbl>
      <w:tblPr>
        <w:tblW w:w="8945" w:type="dxa"/>
        <w:jc w:val="left"/>
        <w:tblInd w:w="0" w:type="dxa"/>
        <w:tblLayout w:type="fixed"/>
        <w:tblCellMar>
          <w:top w:w="28" w:type="dxa"/>
          <w:left w:w="28" w:type="dxa"/>
          <w:bottom w:w="28" w:type="dxa"/>
          <w:right w:w="28" w:type="dxa"/>
        </w:tblCellMar>
      </w:tblPr>
      <w:tblGrid>
        <w:gridCol w:w="2264"/>
        <w:gridCol w:w="1994"/>
        <w:gridCol w:w="2011"/>
        <w:gridCol w:w="109"/>
        <w:gridCol w:w="109"/>
        <w:gridCol w:w="109"/>
        <w:gridCol w:w="211"/>
        <w:gridCol w:w="721"/>
        <w:gridCol w:w="109"/>
        <w:gridCol w:w="109"/>
        <w:gridCol w:w="109"/>
        <w:gridCol w:w="109"/>
        <w:gridCol w:w="211"/>
        <w:gridCol w:w="616"/>
        <w:gridCol w:w="154"/>
      </w:tblGrid>
      <w:tr>
        <w:trPr/>
        <w:tc>
          <w:tcPr>
            <w:tcW w:w="226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future undiscounted minimum lease payments, as reconciled to the discounted minimum lease obligation indicated on the Company’s consolidated balance sheets, under financial leases, less interest, and under operating leases, less imputed interest, as of June 30, 2026 were as follows:</w:t>
      </w:r>
    </w:p>
    <w:tbl>
      <w:tblPr>
        <w:tblW w:w="10016" w:type="dxa"/>
        <w:jc w:val="left"/>
        <w:tblInd w:w="0" w:type="dxa"/>
        <w:tblLayout w:type="fixed"/>
        <w:tblCellMar>
          <w:top w:w="28" w:type="dxa"/>
          <w:left w:w="28" w:type="dxa"/>
          <w:bottom w:w="28" w:type="dxa"/>
          <w:right w:w="28" w:type="dxa"/>
        </w:tblCellMar>
      </w:tblPr>
      <w:tblGrid>
        <w:gridCol w:w="1901"/>
        <w:gridCol w:w="1671"/>
        <w:gridCol w:w="1678"/>
        <w:gridCol w:w="109"/>
        <w:gridCol w:w="109"/>
        <w:gridCol w:w="109"/>
        <w:gridCol w:w="373"/>
        <w:gridCol w:w="826"/>
        <w:gridCol w:w="196"/>
        <w:gridCol w:w="109"/>
        <w:gridCol w:w="109"/>
        <w:gridCol w:w="109"/>
        <w:gridCol w:w="264"/>
        <w:gridCol w:w="904"/>
        <w:gridCol w:w="136"/>
        <w:gridCol w:w="109"/>
        <w:gridCol w:w="109"/>
        <w:gridCol w:w="109"/>
        <w:gridCol w:w="211"/>
        <w:gridCol w:w="72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b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Lease</w:t>
              <w:br/>
              <w:t>Obligations</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66,442 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component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present value of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finance and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and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43,065 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subsidiaries of the Company have ongoing operating leases for facilities that were entered into or extended with third-party companies that, are or were, owned in whole or part, by employees of the subsidiaries. The terms and rental rates of these leases are at or below market rental rates. Lease expense associated with these leases was $0.7 million and $1.3 million for the three and six months ended June 30, 2026 and $0.6 million and $1.3 million for the three and six months ended June 30, 2025. As of June 30, 2026, the minimum lease payments required under these leases totaled $5.7 million, which are due over the next 3.2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determined that the carrying value of cash and cash equivalents approximated fair value based on Level 1 inputs. As of June 30, 2026 and December 31, 2025, the fair value of the Company’s long-term debt and finance lease obligations was based on Level 2 inputs. The Company’s long-term debt was based on variable and fixed interest rates at June 30, 2026 and December 31, 2025,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Debt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Company’s total debt, including borrowings under its credit agreement and master loan agreements for equipment notes:</w:t>
      </w:r>
    </w:p>
    <w:tbl>
      <w:tblPr>
        <w:tblW w:w="10205" w:type="dxa"/>
        <w:jc w:val="left"/>
        <w:tblInd w:w="0" w:type="dxa"/>
        <w:tblLayout w:type="fixed"/>
        <w:tblCellMar>
          <w:top w:w="28" w:type="dxa"/>
          <w:left w:w="28" w:type="dxa"/>
          <w:bottom w:w="28" w:type="dxa"/>
          <w:right w:w="28" w:type="dxa"/>
        </w:tblCellMar>
      </w:tblPr>
      <w:tblGrid>
        <w:gridCol w:w="636"/>
        <w:gridCol w:w="474"/>
        <w:gridCol w:w="475"/>
        <w:gridCol w:w="109"/>
        <w:gridCol w:w="109"/>
        <w:gridCol w:w="109"/>
        <w:gridCol w:w="390"/>
        <w:gridCol w:w="390"/>
        <w:gridCol w:w="391"/>
        <w:gridCol w:w="109"/>
        <w:gridCol w:w="109"/>
        <w:gridCol w:w="109"/>
        <w:gridCol w:w="453"/>
        <w:gridCol w:w="453"/>
        <w:gridCol w:w="454"/>
        <w:gridCol w:w="109"/>
        <w:gridCol w:w="109"/>
        <w:gridCol w:w="109"/>
        <w:gridCol w:w="374"/>
        <w:gridCol w:w="374"/>
        <w:gridCol w:w="378"/>
        <w:gridCol w:w="109"/>
        <w:gridCol w:w="109"/>
        <w:gridCol w:w="109"/>
        <w:gridCol w:w="193"/>
        <w:gridCol w:w="193"/>
        <w:gridCol w:w="194"/>
        <w:gridCol w:w="109"/>
        <w:gridCol w:w="109"/>
        <w:gridCol w:w="109"/>
        <w:gridCol w:w="245"/>
        <w:gridCol w:w="718"/>
        <w:gridCol w:w="128"/>
        <w:gridCol w:w="109"/>
        <w:gridCol w:w="109"/>
        <w:gridCol w:w="109"/>
        <w:gridCol w:w="256"/>
        <w:gridCol w:w="877"/>
        <w:gridCol w:w="197"/>
      </w:tblGrid>
      <w:tr>
        <w:trPr/>
        <w:tc>
          <w:tcPr>
            <w:tcW w:w="6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w:t>
              <w:br/>
              <w:t>Rate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equipment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was 4.70% and 5.08%, per annum, for the six months ended June 30, 2026 and 2025, respectively.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no borrowings outstanding under the Facility and letters of credit outstanding under the Facility of $29.5 million related to the Company's payment obligation under its insurance programs. On July 1, 2026, subsequent to the end of the quarter, the Company borrowed $235.0 million under the Facility to fund a portion of the consideration for the acquisition of Valley (as defined below). See Note 12–Subsequent Event for additional information.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$47.4 million in borrowings outstanding under the Facility and letters of credit outstanding under the Facility of $34.3 million, including $34.2 million related to the Company's payment obligation under its insurance programs and $0.1 million related to contract performance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remaining deferred debt issuance costs related to the Facility totaling $1.0 million and $1.2 million as of June 30, 2026 and December 31, 2025, respectively. As permitted, debt issuance costs have been deferred and are presented as an asset within other assets, which is amortized as interest expense over the term of the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Equipment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one Equipment Note outstanding under the Master Loan Agreements that is collateralized by equipment and vehicles owned by the Company. As of June 30, 2026, the Company had one other equipment note outstanding that is collateralized by a vehicle owned by the Company. The following table sets forth our remaining principal payments for all of the Company’s outstanding equipment notes as of June 30, 2026:</w:t>
      </w:r>
    </w:p>
    <w:tbl>
      <w:tblPr>
        <w:tblW w:w="5293" w:type="dxa"/>
        <w:jc w:val="left"/>
        <w:tblInd w:w="0" w:type="dxa"/>
        <w:tblLayout w:type="fixed"/>
        <w:tblCellMar>
          <w:top w:w="28" w:type="dxa"/>
          <w:left w:w="28" w:type="dxa"/>
          <w:bottom w:w="28" w:type="dxa"/>
          <w:right w:w="28" w:type="dxa"/>
        </w:tblCellMar>
      </w:tblPr>
      <w:tblGrid>
        <w:gridCol w:w="1233"/>
        <w:gridCol w:w="1084"/>
        <w:gridCol w:w="1088"/>
        <w:gridCol w:w="109"/>
        <w:gridCol w:w="109"/>
        <w:gridCol w:w="109"/>
        <w:gridCol w:w="335"/>
        <w:gridCol w:w="980"/>
        <w:gridCol w:w="246"/>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Future</w:t>
              <w:br/>
              <w:t>Equipment Notes</w:t>
              <w:br/>
              <w:t>Principal Payments</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(4,650)</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Revenue Recognition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four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updated its presentation of disaggregated revenue in the T&amp;D segment to no longer present disaggregated revenue by market type. This update was made to better align external reporting with how management evaluates the effect of economic factors on the nature, amount, timing and uncertainty of revenue and cash flows. Additional information on the Company’s segments is provided in Note 10–Segment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contract type for the three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598"/>
        <w:gridCol w:w="527"/>
        <w:gridCol w:w="529"/>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9"/>
      </w:tblGrid>
      <w:tr>
        <w:trPr/>
        <w:tc>
          <w:tcPr>
            <w:tcW w:w="5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contract type for the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98"/>
        <w:gridCol w:w="527"/>
        <w:gridCol w:w="529"/>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9"/>
      </w:tblGrid>
      <w:tr>
        <w:trPr/>
        <w:tc>
          <w:tcPr>
            <w:tcW w:w="5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Remaining Performance Obligations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$2.83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of remaining performance obligations as of June 30, 2026 that the Company expects to be realized and the amount of the remaining performance obligations that the Company reasonably estimates will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1"/>
        <w:gridCol w:w="345"/>
        <w:gridCol w:w="346"/>
        <w:gridCol w:w="109"/>
        <w:gridCol w:w="109"/>
        <w:gridCol w:w="109"/>
        <w:gridCol w:w="211"/>
        <w:gridCol w:w="976"/>
        <w:gridCol w:w="109"/>
        <w:gridCol w:w="109"/>
        <w:gridCol w:w="109"/>
        <w:gridCol w:w="109"/>
        <w:gridCol w:w="561"/>
        <w:gridCol w:w="2598"/>
        <w:gridCol w:w="289"/>
        <w:gridCol w:w="109"/>
        <w:gridCol w:w="109"/>
        <w:gridCol w:w="109"/>
        <w:gridCol w:w="601"/>
        <w:gridCol w:w="2354"/>
        <w:gridCol w:w="443"/>
      </w:tblGrid>
      <w:tr>
        <w:trPr/>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Performance Obligations at June 30, 2026</w:t>
            </w:r>
          </w:p>
        </w:tc>
      </w:tr>
      <w:tr>
        <w:trPr/>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estimated to be recognized within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estimated to be recognized after 12 months</w:t>
            </w:r>
          </w:p>
        </w:tc>
      </w:tr>
      <w:tr>
        <w:trPr/>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657,126 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288,819 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1,625,265 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255,685 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2,282,391 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544,504 </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20"/>
        </w:rPr>
        <w:t>The Company estimates approximately 95% or more</w:t>
      </w:r>
      <w:r>
        <w:rPr>
          <w:color w:val="EE2724"/>
        </w:rPr>
        <w:t xml:space="preserve"> </w:t>
      </w:r>
      <w:r>
        <w:rPr>
          <w:rFonts w:ascii="Times New Roman;serif" w:hAnsi="Times New Roman;serif"/>
          <w:b w:val="false"/>
          <w:color w:val="000000"/>
          <w:sz w:val="20"/>
        </w:rPr>
        <w:t>of the remaining performance obligations will be recognized within twenty-four months, including approximately 80%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federal statutory tax rate was 21% for each of the three and six months ended June 30, 2026 and 2025. The Company’s effective tax rate for the three and six months ended June 30, 2026 was 25.7% and 26.3%, respectively, of pretax income compared to the effective tax rate for the three and six months ended June 30, 2025 of 29.2% and 29.1%,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U.S. federal statutory tax rate and the Company’s effective tax rates for the three and six months ended June 30, 2026 was primarily due to state income taxes and the impact of the net CFC tested income (“NCTI”) and other permanent difference items, partially offset by a favorable impact from stock compensation excess tax benefits.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U.S. federal statutory tax rate and the Company’s effective tax rates for the three and six months ended June 30, 2025 was primarily due to permanent difference items and state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liability for unrecognized tax benefits of approximately $0.5 million and $0.4 million as of June 30, 2026 and December 31, 2025, respectively, which were included in other liabilities in the accompanying consolidated balance sheets.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six months ended June 30, 2026 and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various jurisdictions. The Company’s 2021 through 2024 tax returns are subject to examination by U.S. federal authorities. The Company’s tax returns are subject to examination by various state authorities for the years 2021 through 2025. The Company’s 2021 through 2025 Canadian tax returns are subject to examination by the Canadian Revenue Agency.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approximately $48.6 million in outstanding purchase orders for certain construction equipment, with cash payments scheduled to occur in 2026 and 2027.</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Insurance and Claims Accruals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$0.3 million for qualified individuals. Losses up to the deductible and stop-loss amounts are accrued based upon the Company’s estimates of the ultimate liability for claims reported and an estimate of claims incurred but not yet reported.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and Payment Bonds and Parent Guarantees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June 30, 2026, an aggregate of approximately $2.89 billion in original face amount of bonds issued by the Company’s sureties were outstanding. The Company estimated the remaining cost to complete these bonded projects was approximately $926.2 million as of June 30, 2026.</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Indemnities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Collective Bargaining Agreements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Litigation and Other Legal Matters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all such lawsuits, claims and proceedings, the Company records reserves when it is probable that a liability has been incurred and the amount of loss can be reasonably estimated. The Company does not believe that any of these proceedings, separately or in aggregate, would be expected to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an equity compensation plan under which stock-based compensation has been granted: the 2017 Long-Term Incentive Plan (Amended and Restated as of April 24, 2024) (the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time-vested stock awards covering 33,562 shares of common stock under the LTIP, which vest ratably over three years for employee awards and after one year for non-employee director awards, at a weighted average grant date fair value of $280.22. During the six months ended June 30, 2026, time-vested stock awards covering 51,309 shares of common stock vested at a weighted average grant date fair value of $133.20.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28,718 performance share awards under the LTIP at target, which will cliff vest, if earned, on December 31, 2028, at a weighted average grant date fair value of $319.59. The number of shares ultimately earned under a performance award may vary from zero to 200% of the target shares granted, based upon the Company’s performance compared to certain financial and other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Operating segments are defined as components of an enterprise about which separate financial information is evaluated regularly by the chief operating decision maker (“CODM”) in deciding how to allocate resources and in assessing performance. The Company’s CODM is the Chief Executive Officer. The CODM uses segment revenue and income from operations, over multiple time periods, along with a comparison to the corresponding budgeted and prior year periods, as the primary basis for assessing segment performance and deciding how to allocate resources. Income from operations is the Company’s reported measure of segment profit or loss, as summarized in the table below, and excludes general corporate expenses. General corporate expenses reflect items that are generally viewed as Company-wide operating costs by the CODM and include items such as corporate facility and staffing costs, which includes safety costs, professional fees, IT expenses and certain management fees. The CODM also considers many other factors, such as contract terms, individual project performance, project location and other items, to support the CODM’s assessment of segment performance and resource allocation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data centers, clean energy projects, airports, hospitals, hotels, commercial and industrial facilities, manufacturing plants, processing facilities, water/waste-water treatment facilities, mining facilities, transportation control and management systems and stadiums.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the following table is derived from the segment’s internal financial reports used for corporate management purposes:</w:t>
      </w:r>
    </w:p>
    <w:tbl>
      <w:tblPr>
        <w:tblW w:w="9920" w:type="dxa"/>
        <w:jc w:val="left"/>
        <w:tblInd w:w="0" w:type="dxa"/>
        <w:tblLayout w:type="fixed"/>
        <w:tblCellMar>
          <w:top w:w="28" w:type="dxa"/>
          <w:left w:w="28" w:type="dxa"/>
          <w:bottom w:w="28" w:type="dxa"/>
          <w:right w:w="28" w:type="dxa"/>
        </w:tblCellMar>
      </w:tblPr>
      <w:tblGrid>
        <w:gridCol w:w="1258"/>
        <w:gridCol w:w="1110"/>
        <w:gridCol w:w="1112"/>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97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34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69" w:type="dxa"/>
        <w:jc w:val="left"/>
        <w:tblInd w:w="0" w:type="dxa"/>
        <w:tblLayout w:type="fixed"/>
        <w:tblCellMar>
          <w:top w:w="28" w:type="dxa"/>
          <w:left w:w="28" w:type="dxa"/>
          <w:bottom w:w="28" w:type="dxa"/>
          <w:right w:w="28" w:type="dxa"/>
        </w:tblCellMar>
      </w:tblPr>
      <w:tblGrid>
        <w:gridCol w:w="1259"/>
        <w:gridCol w:w="1108"/>
        <w:gridCol w:w="1112"/>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347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4"/>
        <w:gridCol w:w="1105"/>
        <w:gridCol w:w="1107"/>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7"/>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346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2,082,107 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(53,549)</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96,651 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20" w:type="dxa"/>
        <w:jc w:val="left"/>
        <w:tblInd w:w="0" w:type="dxa"/>
        <w:tblLayout w:type="fixed"/>
        <w:tblCellMar>
          <w:top w:w="28" w:type="dxa"/>
          <w:left w:w="28" w:type="dxa"/>
          <w:bottom w:w="28" w:type="dxa"/>
          <w:right w:w="28" w:type="dxa"/>
        </w:tblCellMar>
      </w:tblPr>
      <w:tblGrid>
        <w:gridCol w:w="1258"/>
        <w:gridCol w:w="1110"/>
        <w:gridCol w:w="1112"/>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97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34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Operating costs include T&amp;D, C&amp;I and general corporate portion of contract costs, selling, general and administrative expenses, amortization of intangible assets and gain on sale of property and equipment. The expenses found in these other segment items are generally viewed as operating costs by the CODM and are not considered individually significant segment reporting items.</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one customer of the Company’s T&amp;D segment represents approximately 10.8% and 11.9% of the Company’s consolidated revenues for the three and six months ended June 30, 2026, respectively. No customer represented 10% or greater of the Company’s consolidated revenues during the three and six months ended June 30, 2025.</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As of June 30, 2026 and December 31, 2025, there were $145.6 million and $169.0 million, respectively, of identifiable assets attributable to Canadian operations. The table below reflects the identifiable assets for each segment.</w:t>
      </w:r>
    </w:p>
    <w:tbl>
      <w:tblPr>
        <w:tblW w:w="5099"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211"/>
        <w:gridCol w:w="976"/>
        <w:gridCol w:w="109"/>
        <w:gridCol w:w="109"/>
        <w:gridCol w:w="109"/>
        <w:gridCol w:w="109"/>
        <w:gridCol w:w="243"/>
        <w:gridCol w:w="1125"/>
        <w:gridCol w:w="17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553,597 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474,791 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615,691 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1,644,079 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allocation of total depreciation, including depreciation of shared construction equipment, and amortization to each segment is as follows:</w:t>
      </w:r>
    </w:p>
    <w:tbl>
      <w:tblPr>
        <w:tblW w:w="4381"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32"/>
        <w:gridCol w:w="794"/>
        <w:gridCol w:w="120"/>
        <w:gridCol w:w="120"/>
        <w:gridCol w:w="120"/>
        <w:gridCol w:w="120"/>
        <w:gridCol w:w="232"/>
        <w:gridCol w:w="794"/>
        <w:gridCol w:w="120"/>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and the weighted average number of common shares used to compute basic and diluted earnings per share were as follows:</w:t>
      </w:r>
    </w:p>
    <w:tbl>
      <w:tblPr>
        <w:tblW w:w="10092" w:type="dxa"/>
        <w:jc w:val="left"/>
        <w:tblInd w:w="0" w:type="dxa"/>
        <w:tblLayout w:type="fixed"/>
        <w:tblCellMar>
          <w:top w:w="28" w:type="dxa"/>
          <w:left w:w="28" w:type="dxa"/>
          <w:bottom w:w="28" w:type="dxa"/>
          <w:right w:w="28" w:type="dxa"/>
        </w:tblCellMar>
      </w:tblPr>
      <w:tblGrid>
        <w:gridCol w:w="1658"/>
        <w:gridCol w:w="1456"/>
        <w:gridCol w:w="146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the three and six months ended June 30, 2025, certain common stock equivalents were excluded from the calculation of dilutive securities because their inclusion would have been anti-dilutive.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shares of common stock underlying the Company’s unvested time-vested stock awards and performance awards that were excluded from the calculation of dilutive securities: </w:t>
      </w:r>
    </w:p>
    <w:tbl>
      <w:tblPr>
        <w:tblW w:w="6118" w:type="dxa"/>
        <w:jc w:val="left"/>
        <w:tblInd w:w="0" w:type="dxa"/>
        <w:tblLayout w:type="fixed"/>
        <w:tblCellMar>
          <w:top w:w="28" w:type="dxa"/>
          <w:left w:w="28" w:type="dxa"/>
          <w:bottom w:w="28" w:type="dxa"/>
          <w:right w:w="28" w:type="dxa"/>
        </w:tblCellMar>
      </w:tblPr>
      <w:tblGrid>
        <w:gridCol w:w="797"/>
        <w:gridCol w:w="703"/>
        <w:gridCol w:w="704"/>
        <w:gridCol w:w="109"/>
        <w:gridCol w:w="109"/>
        <w:gridCol w:w="109"/>
        <w:gridCol w:w="203"/>
        <w:gridCol w:w="203"/>
        <w:gridCol w:w="173"/>
        <w:gridCol w:w="173"/>
        <w:gridCol w:w="173"/>
        <w:gridCol w:w="173"/>
        <w:gridCol w:w="180"/>
        <w:gridCol w:w="181"/>
        <w:gridCol w:w="173"/>
        <w:gridCol w:w="109"/>
        <w:gridCol w:w="109"/>
        <w:gridCol w:w="109"/>
        <w:gridCol w:w="203"/>
        <w:gridCol w:w="203"/>
        <w:gridCol w:w="156"/>
        <w:gridCol w:w="149"/>
        <w:gridCol w:w="149"/>
        <w:gridCol w:w="149"/>
        <w:gridCol w:w="203"/>
        <w:gridCol w:w="203"/>
        <w:gridCol w:w="213"/>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Time-vested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Share Repurchases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27,006 shares of stock, for approximately $7.3 million, from its employees to satisfy tax obligations on shares vested under the LTIP. During the six months ended June 30, 2025, the Company repurchased 20,504 shares of stock, for approximately $2.7 million, from its employees to satisfy tax obligations on shares vested under the LTIP.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Subsequent Event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 2026, the Company acquired all issued and outstanding shares of capital stock of Valley Holdings I, Inc. and its subsidiaries (collectively, “Valley”), for initial cash consideration of approximately $328.0 million, subject to working capital and net asset adjustments. Valley is a full-service electrical contractor based in Everett, Washington. The Company funded the approximately $328.0 million cash payment at closing through a combination of approximately $93.0 million of cash on hand and $235.0 million of borrowings under the Facility. The purchase agreement for the Valley acquisition also provides for additional contingent consideration and additional contingent compensation for key executives of Valley, which may become payable based on the achievement of certain performance targets and continued employment of such executives. The results of Valley will be included in the Company’s consolidated financial statements beginning as of July 1, 2026. Acquisition-related costs associated with the transaction incurred through June 30, 2026 were $1.3 million and were expensed by the Company during the six months ended June 30, 2026. Due to the timing of the acquisition, preliminary purchase price allocation has not yet been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2025 (the “2025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2025 Annual Report.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 and Outlook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general contractors and facility owners. We strive to maintain our status as a preferred provider to our T&amp;D and C&amp;I customers.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legislative actions aimed at supporting infrastructure improvements in the United States may positively impact long-term demand and opportunity in both of our reporting segments, particularly in connection with electric power infrastructure, expansion of domestic manufacturing, and transportation spending. However, we may experience unanticipated volatility associated with policy changes, tariffs and global relations. Prolonged uncertainty in the business environment and higher inflation could also impact customer demand and our profitability.</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had consolidated revenues for the six months ended June 30, 2026 of $2.08 billion, of which 51.1% was attributable to our T&amp;D customers and 48.9% was attributable to our C&amp;I customers. Our consolidated revenues for the six months ended June 30, 2025 were $1.73 billion. For the six months ended June 30, 2026, our net income and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$96.7 million and $166.5 million, respectively, compared to $49.8 million and $105.8 million, respectively, for the six months ended June 30,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there is an ongoing need for utilities to sustain investment in their transmission and distribution systems to improve reliability, reduce congestion, connect to new power generation sources, support future load growth, and conduct proper maintenance. We also believe the increased storm activity and destruction caused by wildfires will cause a push to strengthen transmission and distribution systems against catastrophic damage. Transmission and distribution systems may also require upgrades to accommodate additional energy resources and increased electrification. Consequently, we believe that we will see continued healthy bidding activity going forward. The timing of multi-year transmission project awards, along with the related distribution systems and other substantial construction activity is difficult to predict due to regulatory requirements and the permitting needed to commence construction. Any large, multi-year projects awarded in 2026 will not likely have a large impact on our 2026 results because significant construction activity would not occur until 2027 or later. Bidding and construction activities for small to medium-size transmission projects and upgrades, along with distribution systems, remains active, and we expect this trend to continue.</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EBITDA is a non-GAAP measure. Refer to “Non-GAAP Measure—EBITDA” for a discussion of this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C&amp;I bidding opportunities remain strong and we believe we will see continued opportunities in the primary markets we serve such as data centers, transportation, health care, manufacturing, clean energy and warehousing. 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increasing demand for electricity associated with additional power requirements, driven by increased electrification associated with new technologies, including the emergence and adoption of artificial intelligence technologies as well as increased power needs connected to the reshoring of manufacturing, will require significant investment by our customers in both of our reporting segments.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implement strategies that are designed to further expand our capabilities and effectively allocate capital. We have maintained a strong balance sheet, while also supporting our organic and acquisitive growth, as well as opportunistically repurchasing shares. On July 1, 2026, we acquired all issued and outstanding shares of capital stock of Valley Holdings I, Inc. and its subsidiaries (collectively, “Valley"), for initial cash consideration of approximately $328.0 million, subject to working capital and net asset adjustments, and additional contingent consideration summarized in Note 12–Subsequent Event in the accompanying notes to our Consolidated Financial Statements. The Valley acquisition expanded our electrical contractor operations in the western U.S. We funded the approximately $328.0 million cash payment at closing through a combination of approximately $93.0 million of cash on hand and $235.0 million of borrowings under our $490 million revolving credit facility (the “Facility”). After giving effect to the Valley acquisition, we continue to believe the remaining $225.5 million of borrowing availability under the Facility as of July 1, 2026, cash on hand and future cash flow from operations will enable us to support the organic growth of our business, pursue acquisitions and opportunistically repurchase shares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four-year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backlog was $3.16 billion at June 30, 2026 compared to $2.64 billion at June 30, 2025. Our backlog at June 30, 2026 increased $316.4 million from March 31, 2026. Backlog in the T&amp;D segment increased $284.9 million and C&amp;I backlog increased $31.5 million compared to March 31, 2026. Our backlog as of June 30, 2026 included our proportionate share of joint venture backlog totaling $158.8 million, compared to $167.5 million at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of our backlog that we believe to be firm as of the dates shown and the amount of our current backlog that we reasonably estimate will not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4"/>
        <w:gridCol w:w="347"/>
        <w:gridCol w:w="348"/>
        <w:gridCol w:w="109"/>
        <w:gridCol w:w="109"/>
        <w:gridCol w:w="109"/>
        <w:gridCol w:w="211"/>
        <w:gridCol w:w="976"/>
        <w:gridCol w:w="109"/>
        <w:gridCol w:w="109"/>
        <w:gridCol w:w="109"/>
        <w:gridCol w:w="109"/>
        <w:gridCol w:w="330"/>
        <w:gridCol w:w="1528"/>
        <w:gridCol w:w="170"/>
        <w:gridCol w:w="109"/>
        <w:gridCol w:w="109"/>
        <w:gridCol w:w="109"/>
        <w:gridCol w:w="355"/>
        <w:gridCol w:w="1391"/>
        <w:gridCol w:w="183"/>
        <w:gridCol w:w="109"/>
        <w:gridCol w:w="109"/>
        <w:gridCol w:w="109"/>
        <w:gridCol w:w="401"/>
        <w:gridCol w:w="1856"/>
        <w:gridCol w:w="298"/>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Backlog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within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after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backlog at December 31, 2025</w:t>
            </w:r>
          </w:p>
        </w:tc>
      </w:tr>
      <w:tr>
        <w:trPr/>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976,767 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288,819 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1,018,116 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1,806,152 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2,615,417 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544,504 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2,824,268 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consolidated statements of operations data and such data as a percentage of revenues for the periods indicated:</w:t>
      </w:r>
    </w:p>
    <w:tbl>
      <w:tblPr>
        <w:tblW w:w="10499" w:type="dxa"/>
        <w:jc w:val="left"/>
        <w:tblInd w:w="0" w:type="dxa"/>
        <w:tblLayout w:type="fixed"/>
        <w:tblCellMar>
          <w:top w:w="28" w:type="dxa"/>
          <w:left w:w="28" w:type="dxa"/>
          <w:bottom w:w="28" w:type="dxa"/>
          <w:right w:w="28" w:type="dxa"/>
        </w:tblCellMar>
      </w:tblPr>
      <w:tblGrid>
        <w:gridCol w:w="491"/>
        <w:gridCol w:w="234"/>
        <w:gridCol w:w="236"/>
        <w:gridCol w:w="109"/>
        <w:gridCol w:w="109"/>
        <w:gridCol w:w="109"/>
        <w:gridCol w:w="181"/>
        <w:gridCol w:w="721"/>
        <w:gridCol w:w="109"/>
        <w:gridCol w:w="109"/>
        <w:gridCol w:w="109"/>
        <w:gridCol w:w="109"/>
        <w:gridCol w:w="233"/>
        <w:gridCol w:w="233"/>
        <w:gridCol w:w="267"/>
        <w:gridCol w:w="109"/>
        <w:gridCol w:w="109"/>
        <w:gridCol w:w="109"/>
        <w:gridCol w:w="181"/>
        <w:gridCol w:w="616"/>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318"/>
      </w:tblGrid>
      <w:tr>
        <w:trPr/>
        <w:tc>
          <w:tcPr>
            <w:tcW w:w="4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increased $181.4 million, or 20.1%, to $1.08 billion for the three months ended June 30, 2026 from $900.3 million for the three months ended June 30, 2025. The increase was primarily due to an increase of $163.6 million in C&amp;I revenue and an increase of $17.7 million in T&amp;D revenue. See Segment Results below for additional information and discussion related to segment revenues.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three months ended June 30, 2026 increased to 13.2% compared to 11.5% for the three months ended June 30, 2025. The increase in gross margin was primarily due to significant changes in our estimated gross profit on certain projects resulting in a net gross margin increase of 0.9% for the three months ended June 30, 2026, compared to a net gross margin decrease of 1.0% for the three months ended June 30, 2025. During the three months ended June 30, 2026, significant estimate changes positively impacted gross margin by 2.1%, primarily related to better-than-anticipated productivity, favorable job close outs and an increase in scope on certain projects. In addition, significant estimate changes in gross profit negatively impacted gross margin by 1.2% and largely related to an increase in costs associated with project inefficiencies on certain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$142.7 million for the three months ended June 30, 2026 compared to $103.7 million for the three months ended June 30, 2025. The increase of $39.0 million, or 37.6%, was due to higher margin and revenues.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(“SG&amp;A”) were $74.4 million for the three months ended June 30, 2026 compared to $63.3 million for the three months ended June 30, 2025. The period-over-period increase of $11.1 million was primarily due to an increase in employee incentive compensation costs and an increase in employee-related expenses to support future growth.</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was $0.9 million for the three months ended June 30, 2026. Interest income was not significant for the three months ended June 30, 2025. The increase was attributable to higher average balances held in money market accounts during the three months ended June 30, 2026 as compared to the three months ended June 30,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$0.7 million for the three months ended June 30, 2026 compared to $1.9 million for the three months ended June 30, 2025. The decrease was attributable to lower average outstanding debt balances during the three months ended June 30, 2026 as compared to the three months ended June 30,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$17.3 million for the three months ended June 30, 2026, with an effective tax rate of 25.7%, compared to the income tax expense of $10.9 million for the three months ended June 30, 2025, with an effective tax rate of 29.2%. The decrease in the tax rate for the three months ended June 30, 2026 was primarily due to a favorable impact from stock compensation excess tax benefits, partially offset by the impact of the net CFC tested income (“NCTI”) and other permanent difference items.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was $49.9 million for the three months ended June 30, 2026 compared to net income of $26.5 million for the three months ended June 30, 2025. The increase was primarily due to the reasons stated earlier.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19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97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Transmission &amp; Distribution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T&amp;D segment for the three months ended June 30, 2026 were $524.0 million compared to $506.3 million for the three months ended June 30, 2025, an increase of $17.7 million, or 3.5%. The increase in revenue was related to an increase of $19.8 million in revenue on T&amp;E contracts and an increase of $17.4 million in revenue on unit price contracts, partially offset by a decrease of $19.5 million in revenue on fixed price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income for our T&amp;D segment for the three months ended June 30, 2026 was $49.5 million, an increase of $9.0 million, from the three months ended June 30, 2025. Operating income as a percentage of revenues for our T&amp;D segment increased to 9.4% for the three months ended June 30, 2026 from 8.0% for the three months ended June 30, 2025. The increase in operating income margin was driven by significant changes in our estimated gross profit on certain projects resulting in a net operating income margin increase of 0.7% for the three months ended June 30, 2026, compared to a net operating income margin decrease of 0.9% for the three months ended June 30, 2025. During the three months ended June 30, 2026, significant estimated gross profit changes positively impacted operating income as a percentage of revenues by 1.5%, primarily related to better-than-anticipated productivity, favorable job close outs and an increase in scope on a project. These increases were partially offset by negative significant estimated gross profit changes totaling 0.8% and largely related to project inefficiencies on certain projects.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&amp; Industrial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C&amp;I segment for the three months ended June 30, 2026 were $557.7 million compared to $394.1 million for the three months ended June 30, 2025, an increase of $163.6 million, or 41.5%. The increase in revenue was primarily related to an increase of $159.3 million in revenue on fixed priced contracts.</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income for our C&amp;I segment for the three months ended June 30, 2026 was $47.3 million, an increase of $25.3 million, over the three months ended June 30, 2025. Operating income as a percentage of revenues for our C&amp;I segment increased to 8.5% for the three months ended June 30, 2026 from 5.6% for the three months ended June 30, 2025. The increase in operating income margin was driven by significant changes in our estimated gross profit on certain projects resulting in a net operating income margin increase of 1.1% for the three months ended June 30, 2026, compared to a net operating income margin decrease of 1.2% for the three months ended June 30, 2025. Significant estimated gross profit changes positively impacted operating income as a percentage of revenues by 2.7%, primarily related to better-than-anticipated productivity on certain projects, most of which are nearing completion, and an increase in scope on a project. These increases were partially offset by negative significant estimated gross profit changes totaling 1.6% and largely related to an increase in costs associated with project inefficiencies on certain projects. Operating income margin was also positively impacted during the three months ended June 30, 2026 by a larger portion of our projects progressing at higher contractual margins, some of which are nearing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increased $348.2 million, or 20.1%, to $2.08 billion for the six months ended June 30, 2026 from $1.73 billion for the six months ended June 30, 2025. The increase was primarily due to an increase of $251.2 million in C&amp;I revenue, and an increase of $97.0 million in T&amp;D revenue. See Segment Results below for additional information and discussion related to segment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for the six months ended June 30, 2026 increased to 13.3% compared to 11.6% for the six months ended June 30, 2025. The increase in gross margin was primarily due to significant changes in our estimated gross profit on certain projects resulting in a net gross margin increase of 0.7% for the six months ended June 30, 2026, compared to a net gross margin decrease of 1.2% for the six months ended June 30, 2025. During the six months ended June 30, 2026, significant estimate changes positively impacted gross margin by 2.4%, primarily related to better-than-anticipated productivity, an increase in scope on certain projects and favorable job close outs. In addition, significant estimate changes in gross profit negatively impacted gross margin by 1.7%, and largely related to an increase in costs associated with project inefficiencies on certain projects. Gross margin was also positively impacted during the six months ended June 30, 2026 by a larger portion of our C&amp;I projects progressing at higher contractual margins, some of which are nearing or are at completion.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$277.1 million for the six months ended June 30, 2026 compared to $200.6 million for the six months ended June 30, 2025. The increase of $76.5 million, or 38.1%, was due to higher margin and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expenses were $143.8 million for the six months ended June 30, 2026 compared to $125.8 million for the six months ended June 30, 2025. The period-over-period increase of $18.0 million was primarily due to an increase in employee incentive compensation costs and an increase in employee-related expenses to support future growth.</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Gains from the sale of property and equipment for the six months ended June 30, 2026 were $1.8 million compared to $1.7 million for the six months ended June 30, 2025. Gains from the sale of property and equipment are attributable to routine sales of property and equipment no longer useful or valuable to our ongoing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was $1.8 million for the six months ended June 30, 2026 compared to $0.2 million for the six months ended June 30, 2025. The increase was attributable to higher average balances held in money market accounts during the six months ended June 30, 2026 as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$1.4 million for the six months ended June 30, 2026 compared to $3.3 million for the six months ended June 30, 2025. The decrease was primarily attributable to lower average outstanding debt balances and lower interest rates during the six months ended June 30, 2026 as compared to the six months ended June 30,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$34.5 million for the six months ended June 30, 2026, with an effective tax rate of 26.3%, compared to the expense of $20.4 million for the six months ended June 30, 2025, with an effective tax rate of 29.1%. The change in the tax rate for the six months ended June 30, 2026 was primarily due to a favorable impact from stock compensation excess tax benefits, partially offset by the impact of NCTI and other permanent difference items.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was $96.7 million for the six months ended June 30, 2026 compared to $49.8 million for the six months ended June 30, 2025. The increase was primarily due to the reasons stated earlier.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348" w:type="dxa"/>
        <w:jc w:val="left"/>
        <w:tblInd w:w="0" w:type="dxa"/>
        <w:tblLayout w:type="fixed"/>
        <w:tblCellMar>
          <w:top w:w="28" w:type="dxa"/>
          <w:left w:w="28" w:type="dxa"/>
          <w:bottom w:w="28" w:type="dxa"/>
          <w:right w:w="28" w:type="dxa"/>
        </w:tblCellMar>
      </w:tblPr>
      <w:tblGrid>
        <w:gridCol w:w="932"/>
        <w:gridCol w:w="748"/>
        <w:gridCol w:w="751"/>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9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2,082,107 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Transmission &amp; Distribution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T&amp;D segment for the six months ended June 30, 2026 were $1.06 billion compared to $968.0 million for the six months ended June 30, 2025, an increase of $97.0 million, or 10.0%. The increase in revenue was related to an increase of $83.5 million in revenue of unit price contracts and an increase of $56.3 million in revenue on T&amp;E contracts, partially offset by a decrease of $42.8 million in revenue on fixed price contracts.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income for our T&amp;D segment for the six months ended June 30, 2026 was $101.7 million, an increase of $25.0 million, from the six months ended June 30, 2025. Operating income as a percentage of revenues for our T&amp;D segment increased to 9.6% for the six months ended June 30, 2026 from 7.9% for the six months ended June 30, 2025. The increase in operating income margin was driven by significant changes in our estimated gross profit on certain projects resulting in a net operating income margin increase of 0.7% for the six months ended June 30, 2026, compared to a net decrease of 0.8% for the six months ended June 30, 2025. During the six months ended June 30, 2026, significant estimated gross profit changes positively impacted operating income as a percentage of revenues by 1.0% primarily related to better-than-anticipated productivity, favorable job close outs and an increase in scope on a project. These increases were partially offset by negative significant estimated gross profit changes totaling 0.3% and largely related to project inefficiencies on a project.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&amp; Industrial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C&amp;I segment for the six months ended June 30, 2026 were $1.02 billion compared to $765.9 million for the six months ended June 30, 2025, an increase of $251.2 million, or 32.8%. The increase in revenue was primarily related to an increase of $260.2 million in revenue on fixed priced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income for our C&amp;I segment for the six months ended June 30, 2026 was $84.5 million, an increase of $45.1 million, over the six months ended June 30, 2025. Operating income as a percentage of revenues for our C&amp;I segment increased to 8.3% for the six months ended June 30, 2026 from 5.1% for the six months ended June 30, 2025. The increase in operating income margin was driven by significant changes in our estimated gross profit on certain projects resulting in a net operating income margin increase of 0.7% for the six months ended June 30, 2026, compared to a net decrease of 1.8% for the six months ended June 30, 2025. Significant estimated gross profit changes positively impacted operating income as a percentage of revenues by 4.0%, primarily related to better-than-anticipated productivity on certain projects, most of which are nearing completion, and an increase in scope on certain projects. These increases were partially offset by negative significant estimated gross profit changes totaling 3.3% and largely related to an increase in costs associated with project inefficiencies on certain projects. Operating income margin was also positively impacted during the six months ended June 30, 2026 by a larger portion of our projects progressing at higher contractual margins, some of which are nearing or are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Measure—EBITDA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EBITDA:</w:t>
      </w:r>
    </w:p>
    <w:tbl>
      <w:tblPr>
        <w:tblW w:w="8262" w:type="dxa"/>
        <w:jc w:val="left"/>
        <w:tblInd w:w="0" w:type="dxa"/>
        <w:tblLayout w:type="fixed"/>
        <w:tblCellMar>
          <w:top w:w="28" w:type="dxa"/>
          <w:left w:w="28" w:type="dxa"/>
          <w:bottom w:w="28" w:type="dxa"/>
          <w:right w:w="28" w:type="dxa"/>
        </w:tblCellMar>
      </w:tblPr>
      <w:tblGrid>
        <w:gridCol w:w="917"/>
        <w:gridCol w:w="808"/>
        <w:gridCol w:w="81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the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flows provided by operating activities to EBITDA:</w:t>
      </w:r>
    </w:p>
    <w:tbl>
      <w:tblPr>
        <w:tblW w:w="10205" w:type="dxa"/>
        <w:jc w:val="left"/>
        <w:tblInd w:w="0" w:type="dxa"/>
        <w:tblLayout w:type="fixed"/>
        <w:tblCellMar>
          <w:top w:w="28" w:type="dxa"/>
          <w:left w:w="28" w:type="dxa"/>
          <w:bottom w:w="28" w:type="dxa"/>
          <w:right w:w="28" w:type="dxa"/>
        </w:tblCellMar>
      </w:tblPr>
      <w:tblGrid>
        <w:gridCol w:w="2176"/>
        <w:gridCol w:w="1160"/>
        <w:gridCol w:w="114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217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Add/(subtract):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Capital Resources and Material Cash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working capital of $306.9 million. We define working capital as current assets less current liabilities. During the six months ended June 30, 2026, operating activities of our business provided net cash of $88.1 million, compared to $116.1 million of cash provided for the six months ended June 30, 2025. Cash flow from operations is primarily influenced by operating margins, timing of contract performance and the type of services we provide to our customers. The $28.1 million year-over-year decrease in cash provided by operating activities was primarily due to unfavorable net changes in operating assets and liabilities of $84.0 million offset by an increase of $46.9 million in net income.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$51.8 million. The decline in net cash provided by working capital accounts, mainly related to construction activities, was due to the timing of billings and payments under our contracts. The unfavorable change of $35.0 million in other liabilities was primarily due to the timing of tax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we used net cash of $42.7 million in investing activities consisting of $45.0 million for capital expenditures, partially offset by $2.4 million of proceeds from the sale of equipment.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financing activities used net cash of $57.4 million, consisting primarily of $47.4 million of net repayments under our revolving line of credit, $7.3 million of shares repurchased to satisfy tax obligations under our stock compensation programs and $2.3 million of payments under our equipment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$460.5 million of borrowing availability under the Facility. On July 1, 2026, subsequent to the end of the quarter, we acquired all issued and outstanding shares of capital stock of Valley for initial cash consideration of approximately $328.0 million, subject to working capital and net asset adjustments, and additional contingent consideration summarized in Note 12–Subsequent Event in the accompanying notes to our Consolidated Financial Statements. We funded the approximately $328.0 million cash payment at closing through a combination of approximately $93.0 million of cash on hand and $235.0 million of borrowings under the Facility.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Valley acquisition, we continue to believe the remaining $225.5 million of borrowing availability under the Facility, cash on hand,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financial resources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historically paid dividends and currently do not expect to pay dividends on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Debt Instruments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June 30, 2026.</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no borrowings outstanding under the Facility as of June 30, 2026. We had $47.4 million in borrowings outstanding under the Facility as of December 31, 2025. On July 1, 2026, subsequent to the end of the quarter, the Company borrowed $235.0 million under the Facility to fund a portion of the consideration for the Valley acquisition.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vendors require letters of credit to ensure reimbursement for amounts they are disbursing on our behalf, such as to beneficiaries under our insurance programs. In addition, from time to time, certain customers require us to post letters of credit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$29.5 million in letters of credit outstanding under our Credit Agreement related to the Company's payment obligation under its insurance programs. As of December 31, 2025, we had $34.3 million in letters of credit outstanding under our Credit Agreement, including $34.2 million related to the Company's payment obligations under its insurance programs and $0.1 million related to contract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Equipment Notes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one outstanding Equipment Note collateralized by equipment and vehicles owned by us. As of June 30, 2026 and December 31, 2025, we also had one other equipment note outstanding collateralized by a vehicle owned by us. The outstanding balance of all equipment notes was $9.4 million as of June 30, 2026 and $11.6 million as of December 31, 2025. As of June 30, 2026, we had outstanding short-term equipment notes of approximately $4.7 million and outstanding long-term equipment notes of approximately $4.7 million. As of December 31, 2025, we had outstanding short-term and long-term equipment notes of approximately $4.6 million and $7.0 million, respectively.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Lease Obligations</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balance of operating lease obligations was $56.2 million as of June 30, 2026, consisting of short-term and long-term operating lease obligations of approximately $13.1 million and $43.1 million, respectively. The outstanding balance of operating lease obligations was $42.4 million as of December 31, 2025, consisting of short-term and long-term operating lease obligations of approximately $13.0 million and $29.4 million, respectively. </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outstanding balance of finance lease obligations was $1.6 million as of June 30, 2026, consisting of short-term and long-term finance lease obligations of approximately $0.8 million and $0.8 million, respectively. As of December 31, 2025, we had $2.0 million outstanding finance lease obligations, consisting of short-term and long-term finance lease obligations of approximately $0.8 million and $1.2 million,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Commitments for Construction Equipment</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approximately $48.6 million in outstanding purchase obligations for certain construction equipment to be paid with cash outlays scheduled to occur in 2026 and 2027.</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and Payment Bonds and Parent Guarantees</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customers, particularly in connection with new construction, require us to post performance and payment bonds typically issued by a surety or financial institution.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June 30, 2026, an aggregate of approximately $2.89 billion in original face amount of bonds issued by our sureties were outstanding. Our estimated remaining cost to complete these bonded projects was approximately $926.2 million as of June 30, 2026.</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June 30, 2026 accounts receivable for one of our customers individually accounted for approximately 15% of our consolidated accounts receivable. As of June 30, 2025, none of our customers individually exceeded 10% of our consolidated accounts receivable. Management believes the terms and conditions in its contracts, billing and collection policies are adequate to minimize the potential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regarding new accounting pronouncements, please refer to Note 1–Organization, Business and Basis of Presentation—Recent Accounting Pronouncements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 and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including the following discussion to inform you of some of the risks and uncertainties that can affect our company and to take advantage of the protections for forward-looking statements that applicable federal securities law affords.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2025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risks, contingencies and uncertainties include, but are not limited to, the following: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operating results may vary significantly from period to period.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industry is highly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Negative economic and market conditions including tariffs and inflation on materials, interest rates and recessionary conditions have in the past and may in the future adversely impact our customers’ spending and, as a result, our operations and growth.</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be unsuccessful in generating internal growth, which could impact the projects available to the Company.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inability to successfully execute or integrate acquisitions or joint ventures may have an adverse impact on our growth strategy and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Project performance issues, including those caused by third parties, or certain contractual obligations</w:t>
      </w:r>
      <w:r>
        <w:rPr>
          <w:color w:val="000000"/>
        </w:rPr>
        <w:t xml:space="preserve"> </w:t>
      </w:r>
      <w:r>
        <w:rPr>
          <w:rFonts w:ascii="Times New Roman;serif" w:hAnsi="Times New Roman;serif"/>
          <w:b w:val="false"/>
          <w:color w:val="000000"/>
          <w:sz w:val="20"/>
        </w:rPr>
        <w:t>have in the past and may in the future result in additional costs to us, reductions or delays in revenues or the payment of penalties, including liquidated damages.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be unable to attract and retain qualified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timing of new contracts and termination of existing contracts may result in unpredictable fluctuations in our cash flows and financial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During the ordinary course of our business, we have in the past and may in the future become subject to lawsuits or indemnity claims.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Backlog may not be realized or may not result in profits and may not accurately represent future revenue.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Risks associated with operating in the Canadian market could impact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tax laws or our interpretations of tax laws could materially impact our tax liabilities.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nature of our business exposes us to potential liability for warranty claims and faulty engineering, which may reduce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Pandemic outbreaks of disease, such as the COVID-19 pandemic, have in the past had and may in the future have an adverse impact on our business, employees, liquidity, financial condition, results of operations and cash flows.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dependence on customers, suppliers, subcontractors and equipment manufacturers has in the past and may in the future expose us to the risk of loss in our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participation in joint ventures and other projects with third parties may expose us to liability for failures of our partners.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Legislative or regulatory actions relating to utility, electricity transmission, clean energy or our business activities may impact demand for our services.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failure to comply with environmental and other laws and regulations could result in significant liabilities.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business may be affected by seasonal and other variations, including severe weather conditions and the nature of our work environment.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Opportunities associated with government contracts could lead to increased governmental regulation applicable to us.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use of percentage-of-completion accounting could result in a reduction or reversal of previously recognized revenues and profits.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results are based upon estimates and assumptions that may differ from actual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actual costs may be greater than expected in performing our fixed-price and unit-price contracts.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not be able to compete for, or work on, certain projects if we are not able to obtain necessary bonds, letters of credit, bank guarantees or other financial assurances.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Unfavorable developments affecting the banking and financial services industry could adversely affect our business, liquidity and financial condition and overall results of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Work stoppages or other labor issues with our unionized workforce could adversely affect our business, and we may be subject to unionization attempts.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Multi-employer pension plan obligations related to our unionized workforce could adversely impact our earnings.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within the United States and Canada, and we are exposed to market risks in the ordinary course of our business, including the effects of fluctuations in interest rates, foreign exchange rates, and commodity prices.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were not party to any derivative instruments. We did not use any material derivative financial instruments during the six months ended June 30, 2026 and 2025, including instruments for trading, hedging, or speculating on changes in interest rates, changes in foreign currency rates or changes in commodity prices of materials used in our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borrowings under our Facility are based upon interest rates that will vary depending upon the prime rate, Canadian prime rate, the NYFRB overnight bank funding rate, Term CORRA, and Term SOFR Reference Rate, each as defined in the Credit Agreement. If the prime rate, Canadian prime rate, the NYFRB overnight bank funding rate, Term CORRA, or Term SOFR Reference Rate rises, any interest payment obligations under the Facility would increase and have a negative effect on our cash flow and financial condition. We currently do not maintain any hedging contracts that would limit our exposure to variable rates of interest when we have outstanding borrowings. As of June 30, 2026, we had no borrowings outstanding under the Facility. As of July 1, 2026, we had $235.0 million of borrowings outstanding under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period covered by this report, there were no changes in our internal control over financial reporting that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regarding legal proceedings, please refer to Note 8–Commitments and Contingencies—Litigation and Other Legal Matters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a number of risks that could materially and adversely affect our business, employees, liquidity, financial condition, results of operations and cash flows. A discussion of our risk factors can be found in Item 1A. “Risk Factors” in our 2025 Annual Report. As of the date of this filing, there have been no material changes to the risk factors previously discussed in Item 1A. “Risk Factors” in our 2025 Annual Report. An investment in our common stock involves various risks. When considering an investment in the Company, you should carefully consider all of the risk factors described in our 2025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720"/>
        <w:jc w:val="left"/>
        <w:rPr/>
      </w:pPr>
      <w:r>
        <w:rPr>
          <w:rFonts w:ascii="Times New Roman;serif" w:hAnsi="Times New Roman;serif"/>
          <w:b/>
          <w:i/>
          <w:color w:val="000000"/>
          <w:sz w:val="20"/>
        </w:rPr>
        <w:t xml:space="preserve">Purchases of Common Stock. </w:t>
      </w:r>
      <w:r>
        <w:rPr>
          <w:rFonts w:ascii="Times New Roman;serif" w:hAnsi="Times New Roman;serif"/>
          <w:b w:val="false"/>
          <w:color w:val="000000"/>
          <w:sz w:val="20"/>
        </w:rPr>
        <w:t>The following table includes all of the Company’s repurchases of common stock for the periods shown. Repurchased shares are retired and returned to authorized but unissued common stock.</w:t>
      </w:r>
    </w:p>
    <w:tbl>
      <w:tblPr>
        <w:tblW w:w="10205" w:type="dxa"/>
        <w:jc w:val="left"/>
        <w:tblInd w:w="0" w:type="dxa"/>
        <w:tblLayout w:type="fixed"/>
        <w:tblCellMar>
          <w:top w:w="28" w:type="dxa"/>
          <w:left w:w="28" w:type="dxa"/>
          <w:bottom w:w="28" w:type="dxa"/>
          <w:right w:w="28" w:type="dxa"/>
        </w:tblCellMar>
      </w:tblPr>
      <w:tblGrid>
        <w:gridCol w:w="410"/>
        <w:gridCol w:w="361"/>
        <w:gridCol w:w="366"/>
        <w:gridCol w:w="109"/>
        <w:gridCol w:w="109"/>
        <w:gridCol w:w="109"/>
        <w:gridCol w:w="488"/>
        <w:gridCol w:w="454"/>
        <w:gridCol w:w="455"/>
        <w:gridCol w:w="109"/>
        <w:gridCol w:w="109"/>
        <w:gridCol w:w="109"/>
        <w:gridCol w:w="275"/>
        <w:gridCol w:w="942"/>
        <w:gridCol w:w="142"/>
        <w:gridCol w:w="109"/>
        <w:gridCol w:w="109"/>
        <w:gridCol w:w="109"/>
        <w:gridCol w:w="780"/>
        <w:gridCol w:w="776"/>
        <w:gridCol w:w="778"/>
        <w:gridCol w:w="109"/>
        <w:gridCol w:w="109"/>
        <w:gridCol w:w="109"/>
        <w:gridCol w:w="728"/>
        <w:gridCol w:w="1402"/>
        <w:gridCol w:w="540"/>
      </w:tblGrid>
      <w:tr>
        <w:trPr/>
        <w:tc>
          <w:tcPr>
            <w:tcW w:w="4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as Part of Publicly Announced Plans or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tc>
      </w:tr>
      <w:tr>
        <w:trPr/>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jc w:val="left"/>
        <w:rPr>
          <w:rFonts w:ascii="Times New Roman;serif" w:hAnsi="Times New Roman;serif"/>
          <w:b w:val="false"/>
          <w:color w:val="000000"/>
          <w:sz w:val="20"/>
        </w:rPr>
      </w:pPr>
      <w:r>
        <w:rPr>
          <w:rFonts w:ascii="Times New Roman;serif" w:hAnsi="Times New Roman;serif"/>
          <w:b w:val="false"/>
          <w:color w:val="000000"/>
          <w:sz w:val="20"/>
        </w:rPr>
        <w:t>(1) This column contains repurchases of common stock to satisfy tax obligations on the vesting of performance and restricted stock under the 2017 Long-Term Incentive Plan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8756"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205"/>
        <w:gridCol w:w="2205"/>
        <w:gridCol w:w="314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60630xex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60630xexx311.htm">
              <w:r>
                <w:rPr>
                  <w:rStyle w:val="InternetLink"/>
                  <w:rFonts w:ascii="Times New Roman;serif" w:hAnsi="Times New Roman;serif"/>
                  <w:b w:val="false"/>
                  <w:color w:val="0000FF"/>
                  <w:sz w:val="20"/>
                  <w:u w:val="single"/>
                </w:rPr>
                <w:t>Certification of Chief Executive Officer pursuant to SEC Rule 13a-14(a)/15d-14(a)†</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60630xexx312.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60630xexx312.htm">
              <w:r>
                <w:rPr>
                  <w:rStyle w:val="InternetLink"/>
                  <w:rFonts w:ascii="Times New Roman;serif" w:hAnsi="Times New Roman;serif"/>
                  <w:b w:val="false"/>
                  <w:color w:val="0000FF"/>
                  <w:sz w:val="20"/>
                  <w:u w:val="single"/>
                </w:rPr>
                <w:t>Certification of Chief Financial Officer pursuant to SEC Rule 13a-14(a)/15d-14(a)†</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60630xex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60630xexx321.htm">
              <w:r>
                <w:rPr>
                  <w:rStyle w:val="InternetLink"/>
                  <w:rFonts w:ascii="Times New Roman;serif" w:hAnsi="Times New Roman;serif"/>
                  <w:b w:val="false"/>
                  <w:color w:val="0000FF"/>
                  <w:sz w:val="20"/>
                  <w:u w:val="single"/>
                </w:rPr>
                <w:t>Certification of Chief Executive Officer pursuant to 18 U.S.C. §1350+</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60630xex322.htm">
              <w:r>
                <w:rPr>
                  <w:rStyle w:val="InternetLink"/>
                  <w:rFonts w:ascii="Times New Roman;serif" w:hAnsi="Times New Roman;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60630xex322.htm">
              <w:r>
                <w:rPr>
                  <w:rStyle w:val="InternetLink"/>
                  <w:rFonts w:ascii="Times New Roman;serif" w:hAnsi="Times New Roman;serif"/>
                  <w:b w:val="false"/>
                  <w:color w:val="0000FF"/>
                  <w:sz w:val="20"/>
                  <w:u w:val="single"/>
                </w:rPr>
                <w:t>Certification of Chief Financial Officer pursuant to 18 U.S.C. §1350+</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Electronically filed</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61b7d62f63d4eb38dbe673f27c3c4d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473" w:type="dxa"/>
        <w:jc w:val="left"/>
        <w:tblInd w:w="0" w:type="dxa"/>
        <w:tblLayout w:type="fixed"/>
        <w:tblCellMar>
          <w:top w:w="28" w:type="dxa"/>
          <w:left w:w="28" w:type="dxa"/>
          <w:bottom w:w="28" w:type="dxa"/>
          <w:right w:w="28" w:type="dxa"/>
        </w:tblCellMar>
      </w:tblPr>
      <w:tblGrid>
        <w:gridCol w:w="443"/>
        <w:gridCol w:w="390"/>
        <w:gridCol w:w="396"/>
        <w:gridCol w:w="2115"/>
        <w:gridCol w:w="2115"/>
        <w:gridCol w:w="301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MYR GROUP INC.</w:t>
              <w:br/>
              <w:t>(Registrant)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7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br/>
              <w:t>Senior Vice President and Chief Financial Officer</w:t>
              <w:br/>
              <w:t>(Principal Financial Officer, Principal Accounting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Richard S. Swartz, Jr.,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MYR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39" w:type="dxa"/>
        <w:jc w:val="left"/>
        <w:tblInd w:w="0" w:type="dxa"/>
        <w:tblLayout w:type="fixed"/>
        <w:tblCellMar>
          <w:top w:w="28" w:type="dxa"/>
          <w:left w:w="28" w:type="dxa"/>
          <w:bottom w:w="28" w:type="dxa"/>
          <w:right w:w="28" w:type="dxa"/>
        </w:tblCellMar>
      </w:tblPr>
      <w:tblGrid>
        <w:gridCol w:w="443"/>
        <w:gridCol w:w="390"/>
        <w:gridCol w:w="396"/>
        <w:gridCol w:w="939"/>
        <w:gridCol w:w="939"/>
        <w:gridCol w:w="133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 JR.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b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Kelly M. Huntington,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MYR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69" w:type="dxa"/>
        <w:jc w:val="left"/>
        <w:tblInd w:w="0" w:type="dxa"/>
        <w:tblLayout w:type="fixed"/>
        <w:tblCellMar>
          <w:top w:w="28" w:type="dxa"/>
          <w:left w:w="28" w:type="dxa"/>
          <w:bottom w:w="28" w:type="dxa"/>
          <w:right w:w="28" w:type="dxa"/>
        </w:tblCellMar>
      </w:tblPr>
      <w:tblGrid>
        <w:gridCol w:w="443"/>
        <w:gridCol w:w="390"/>
        <w:gridCol w:w="396"/>
        <w:gridCol w:w="1213"/>
        <w:gridCol w:w="1213"/>
        <w:gridCol w:w="171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Richard S. Swartz, Jr., Chief Executive Officer and President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 and six months ended June 30, 2026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such report fairly presents, in all material respects, the financial condition and results of operations of the Company.</w:t>
      </w:r>
    </w:p>
    <w:tbl>
      <w:tblPr>
        <w:tblW w:w="4469" w:type="dxa"/>
        <w:jc w:val="left"/>
        <w:tblInd w:w="0" w:type="dxa"/>
        <w:tblLayout w:type="fixed"/>
        <w:tblCellMar>
          <w:top w:w="28" w:type="dxa"/>
          <w:left w:w="28" w:type="dxa"/>
          <w:bottom w:w="28" w:type="dxa"/>
          <w:right w:w="28" w:type="dxa"/>
        </w:tblCellMar>
      </w:tblPr>
      <w:tblGrid>
        <w:gridCol w:w="443"/>
        <w:gridCol w:w="390"/>
        <w:gridCol w:w="396"/>
        <w:gridCol w:w="948"/>
        <w:gridCol w:w="948"/>
        <w:gridCol w:w="134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 JR.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Kelly M. Huntington, Senior Vice President and Chief Financial Officer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 and six months ended June 30, 2026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such report fairly presents, in all material respects, the financial condition and results of operations of the Company.</w:t>
      </w:r>
    </w:p>
    <w:tbl>
      <w:tblPr>
        <w:tblW w:w="5474" w:type="dxa"/>
        <w:jc w:val="left"/>
        <w:tblInd w:w="0" w:type="dxa"/>
        <w:tblLayout w:type="fixed"/>
        <w:tblCellMar>
          <w:top w:w="28" w:type="dxa"/>
          <w:left w:w="28" w:type="dxa"/>
          <w:bottom w:w="28" w:type="dxa"/>
          <w:right w:w="28" w:type="dxa"/>
        </w:tblCellMar>
      </w:tblPr>
      <w:tblGrid>
        <w:gridCol w:w="443"/>
        <w:gridCol w:w="390"/>
        <w:gridCol w:w="396"/>
        <w:gridCol w:w="1244"/>
        <w:gridCol w:w="1244"/>
        <w:gridCol w:w="1757"/>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21526</Words>
  <Characters>120157</Characters>
  <CharactersWithSpaces>140283</CharactersWithSpaces>
  <Paragraphs>2439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