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10-Q</w:t>
      </w:r>
    </w:p>
    <w:p>
      <w:pPr>
        <w:spacing w:after="0" w:line="14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34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02" w:lineRule="exact"/>
        <w:rPr>
          <w:sz w:val="24"/>
          <w:szCs w:val="24"/>
          <w:color w:val="auto"/>
        </w:rPr>
      </w:pPr>
    </w:p>
    <w:p>
      <w:pPr>
        <w:ind w:left="4260"/>
        <w:spacing w:after="0"/>
        <w:tabs>
          <w:tab w:leader="none" w:pos="68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1-08325</w:t>
      </w:r>
    </w:p>
    <w:p>
      <w:pPr>
        <w:spacing w:after="0" w:line="113" w:lineRule="exact"/>
        <w:rPr>
          <w:sz w:val="24"/>
          <w:szCs w:val="24"/>
          <w:color w:val="auto"/>
        </w:rPr>
      </w:pPr>
    </w:p>
    <w:p>
      <w:pPr>
        <w:ind w:left="3160"/>
        <w:spacing w:after="0"/>
        <w:rPr>
          <w:sz w:val="20"/>
          <w:szCs w:val="20"/>
          <w:color w:val="auto"/>
        </w:rPr>
      </w:pPr>
      <w:r>
        <w:rPr>
          <w:rFonts w:ascii="Arial" w:cs="Arial" w:eastAsia="Arial" w:hAnsi="Arial"/>
          <w:sz w:val="16"/>
          <w:szCs w:val="16"/>
          <w:b w:val="1"/>
          <w:bCs w:val="1"/>
          <w:color w:val="auto"/>
        </w:rPr>
        <w:t>_____________________________________________________________</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MYR GROUP INC.</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55" w:lineRule="exact"/>
        <w:rPr>
          <w:sz w:val="24"/>
          <w:szCs w:val="24"/>
          <w:color w:val="auto"/>
        </w:rPr>
      </w:pPr>
    </w:p>
    <w:tbl>
      <w:tblPr>
        <w:tblLayout w:type="fixed"/>
        <w:tblInd w:w="1980" w:type="dxa"/>
        <w:tblCellMar>
          <w:top w:w="0" w:type="dxa"/>
          <w:left w:w="0" w:type="dxa"/>
          <w:bottom w:w="0" w:type="dxa"/>
          <w:right w:w="0" w:type="dxa"/>
        </w:tblCellMar>
      </w:tblPr>
      <w:tr>
        <w:trPr>
          <w:trHeight w:val="210"/>
        </w:trPr>
        <w:tc>
          <w:tcPr>
            <w:tcW w:w="3680" w:type="dxa"/>
            <w:vAlign w:val="bottom"/>
          </w:tcPr>
          <w:p>
            <w:pPr>
              <w:jc w:val="center"/>
              <w:ind w:right="1039"/>
              <w:spacing w:after="0"/>
              <w:rPr>
                <w:sz w:val="20"/>
                <w:szCs w:val="20"/>
                <w:color w:val="auto"/>
              </w:rPr>
            </w:pPr>
            <w:r>
              <w:rPr>
                <w:rFonts w:ascii="Arial" w:cs="Arial" w:eastAsia="Arial" w:hAnsi="Arial"/>
                <w:sz w:val="16"/>
                <w:szCs w:val="16"/>
                <w:b w:val="1"/>
                <w:bCs w:val="1"/>
                <w:color w:val="auto"/>
                <w:w w:val="91"/>
              </w:rPr>
              <w:t>Delaware</w:t>
            </w:r>
          </w:p>
        </w:tc>
        <w:tc>
          <w:tcPr>
            <w:tcW w:w="3480" w:type="dxa"/>
            <w:vAlign w:val="bottom"/>
          </w:tcPr>
          <w:p>
            <w:pPr>
              <w:jc w:val="right"/>
              <w:ind w:right="699"/>
              <w:spacing w:after="0"/>
              <w:rPr>
                <w:sz w:val="20"/>
                <w:szCs w:val="20"/>
                <w:color w:val="auto"/>
              </w:rPr>
            </w:pPr>
            <w:r>
              <w:rPr>
                <w:rFonts w:ascii="Arial" w:cs="Arial" w:eastAsia="Arial" w:hAnsi="Arial"/>
                <w:sz w:val="16"/>
                <w:szCs w:val="16"/>
                <w:b w:val="1"/>
                <w:bCs w:val="1"/>
                <w:color w:val="auto"/>
              </w:rPr>
              <w:t>36-3158643</w:t>
            </w:r>
          </w:p>
        </w:tc>
      </w:tr>
      <w:tr>
        <w:trPr>
          <w:trHeight w:val="226"/>
        </w:trPr>
        <w:tc>
          <w:tcPr>
            <w:tcW w:w="3680" w:type="dxa"/>
            <w:vAlign w:val="bottom"/>
          </w:tcPr>
          <w:p>
            <w:pPr>
              <w:jc w:val="center"/>
              <w:ind w:right="1079"/>
              <w:spacing w:after="0"/>
              <w:rPr>
                <w:sz w:val="20"/>
                <w:szCs w:val="20"/>
                <w:color w:val="auto"/>
              </w:rPr>
            </w:pPr>
            <w:r>
              <w:rPr>
                <w:rFonts w:ascii="Arial" w:cs="Arial" w:eastAsia="Arial" w:hAnsi="Arial"/>
                <w:sz w:val="16"/>
                <w:szCs w:val="16"/>
                <w:color w:val="auto"/>
                <w:w w:val="93"/>
              </w:rPr>
              <w:t>(State or other jurisdiction of</w:t>
            </w:r>
          </w:p>
        </w:tc>
        <w:tc>
          <w:tcPr>
            <w:tcW w:w="3480" w:type="dxa"/>
            <w:vAlign w:val="bottom"/>
          </w:tcPr>
          <w:p>
            <w:pPr>
              <w:jc w:val="center"/>
              <w:ind w:left="1039"/>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3680" w:type="dxa"/>
            <w:vAlign w:val="bottom"/>
          </w:tcPr>
          <w:p>
            <w:pPr>
              <w:jc w:val="center"/>
              <w:ind w:right="1039"/>
              <w:spacing w:after="0"/>
              <w:rPr>
                <w:sz w:val="20"/>
                <w:szCs w:val="20"/>
                <w:color w:val="auto"/>
              </w:rPr>
            </w:pPr>
            <w:r>
              <w:rPr>
                <w:rFonts w:ascii="Arial" w:cs="Arial" w:eastAsia="Arial" w:hAnsi="Arial"/>
                <w:sz w:val="16"/>
                <w:szCs w:val="16"/>
                <w:color w:val="auto"/>
                <w:w w:val="94"/>
              </w:rPr>
              <w:t>incorporation or organization)</w:t>
            </w:r>
          </w:p>
        </w:tc>
        <w:tc>
          <w:tcPr>
            <w:tcW w:w="3480" w:type="dxa"/>
            <w:vAlign w:val="bottom"/>
          </w:tcPr>
          <w:p>
            <w:pPr>
              <w:spacing w:after="0"/>
              <w:rPr>
                <w:sz w:val="17"/>
                <w:szCs w:val="17"/>
                <w:color w:val="auto"/>
              </w:rPr>
            </w:pPr>
          </w:p>
        </w:tc>
      </w:tr>
      <w:tr>
        <w:trPr>
          <w:trHeight w:val="459"/>
        </w:trPr>
        <w:tc>
          <w:tcPr>
            <w:tcW w:w="3680" w:type="dxa"/>
            <w:vAlign w:val="bottom"/>
          </w:tcPr>
          <w:p>
            <w:pPr>
              <w:ind w:left="320"/>
              <w:spacing w:after="0"/>
              <w:rPr>
                <w:sz w:val="20"/>
                <w:szCs w:val="20"/>
                <w:color w:val="auto"/>
              </w:rPr>
            </w:pPr>
            <w:r>
              <w:rPr>
                <w:rFonts w:ascii="Arial" w:cs="Arial" w:eastAsia="Arial" w:hAnsi="Arial"/>
                <w:sz w:val="16"/>
                <w:szCs w:val="16"/>
                <w:b w:val="1"/>
                <w:bCs w:val="1"/>
                <w:color w:val="auto"/>
              </w:rPr>
              <w:t>12150 East 112th Avenue</w:t>
            </w:r>
          </w:p>
        </w:tc>
        <w:tc>
          <w:tcPr>
            <w:tcW w:w="3480" w:type="dxa"/>
            <w:vAlign w:val="bottom"/>
          </w:tcPr>
          <w:p>
            <w:pPr>
              <w:spacing w:after="0"/>
              <w:rPr>
                <w:sz w:val="24"/>
                <w:szCs w:val="24"/>
                <w:color w:val="auto"/>
              </w:rPr>
            </w:pPr>
          </w:p>
        </w:tc>
      </w:tr>
      <w:tr>
        <w:trPr>
          <w:trHeight w:val="270"/>
        </w:trPr>
        <w:tc>
          <w:tcPr>
            <w:tcW w:w="3680" w:type="dxa"/>
            <w:vAlign w:val="bottom"/>
          </w:tcPr>
          <w:p>
            <w:pPr>
              <w:ind w:left="440"/>
              <w:spacing w:after="0"/>
              <w:rPr>
                <w:sz w:val="20"/>
                <w:szCs w:val="20"/>
                <w:color w:val="auto"/>
              </w:rPr>
            </w:pPr>
            <w:r>
              <w:rPr>
                <w:rFonts w:ascii="Arial" w:cs="Arial" w:eastAsia="Arial" w:hAnsi="Arial"/>
                <w:sz w:val="16"/>
                <w:szCs w:val="16"/>
                <w:b w:val="1"/>
                <w:bCs w:val="1"/>
                <w:color w:val="auto"/>
              </w:rPr>
              <w:t xml:space="preserve">Henderson,  </w:t>
            </w:r>
            <w:r>
              <w:rPr>
                <w:rFonts w:ascii="Arial" w:cs="Arial" w:eastAsia="Arial" w:hAnsi="Arial"/>
                <w:sz w:val="17"/>
                <w:szCs w:val="17"/>
                <w:b w:val="1"/>
                <w:bCs w:val="1"/>
                <w:color w:val="auto"/>
              </w:rPr>
              <w:t>CO</w:t>
            </w:r>
          </w:p>
        </w:tc>
        <w:tc>
          <w:tcPr>
            <w:tcW w:w="3480" w:type="dxa"/>
            <w:vAlign w:val="bottom"/>
          </w:tcPr>
          <w:p>
            <w:pPr>
              <w:jc w:val="right"/>
              <w:ind w:right="899"/>
              <w:spacing w:after="0"/>
              <w:rPr>
                <w:sz w:val="20"/>
                <w:szCs w:val="20"/>
                <w:color w:val="auto"/>
              </w:rPr>
            </w:pPr>
            <w:r>
              <w:rPr>
                <w:rFonts w:ascii="Arial" w:cs="Arial" w:eastAsia="Arial" w:hAnsi="Arial"/>
                <w:sz w:val="16"/>
                <w:szCs w:val="16"/>
                <w:b w:val="1"/>
                <w:bCs w:val="1"/>
                <w:color w:val="auto"/>
              </w:rPr>
              <w:t>80640</w:t>
            </w:r>
          </w:p>
        </w:tc>
      </w:tr>
      <w:tr>
        <w:trPr>
          <w:trHeight w:val="257"/>
        </w:trPr>
        <w:tc>
          <w:tcPr>
            <w:tcW w:w="3680" w:type="dxa"/>
            <w:vAlign w:val="bottom"/>
          </w:tcPr>
          <w:p>
            <w:pPr>
              <w:jc w:val="center"/>
              <w:ind w:right="1039"/>
              <w:spacing w:after="0"/>
              <w:rPr>
                <w:sz w:val="20"/>
                <w:szCs w:val="20"/>
                <w:color w:val="auto"/>
              </w:rPr>
            </w:pPr>
            <w:r>
              <w:rPr>
                <w:rFonts w:ascii="Arial" w:cs="Arial" w:eastAsia="Arial" w:hAnsi="Arial"/>
                <w:sz w:val="16"/>
                <w:szCs w:val="16"/>
                <w:color w:val="auto"/>
                <w:w w:val="93"/>
              </w:rPr>
              <w:t>(Address of principal executive offices)</w:t>
            </w:r>
          </w:p>
        </w:tc>
        <w:tc>
          <w:tcPr>
            <w:tcW w:w="3480" w:type="dxa"/>
            <w:vAlign w:val="bottom"/>
          </w:tcPr>
          <w:p>
            <w:pPr>
              <w:jc w:val="center"/>
              <w:ind w:left="1039"/>
              <w:spacing w:after="0"/>
              <w:rPr>
                <w:sz w:val="20"/>
                <w:szCs w:val="20"/>
                <w:color w:val="auto"/>
              </w:rPr>
            </w:pPr>
            <w:r>
              <w:rPr>
                <w:rFonts w:ascii="Arial" w:cs="Arial" w:eastAsia="Arial" w:hAnsi="Arial"/>
                <w:sz w:val="16"/>
                <w:szCs w:val="16"/>
                <w:color w:val="auto"/>
                <w:w w:val="95"/>
              </w:rPr>
              <w:t>(Zip Code)</w:t>
            </w:r>
          </w:p>
        </w:tc>
      </w:tr>
    </w:tbl>
    <w:p>
      <w:pPr>
        <w:spacing w:after="0" w:line="27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(303) 286-8000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N/A</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5" w:lineRule="exact"/>
        <w:rPr>
          <w:sz w:val="24"/>
          <w:szCs w:val="24"/>
          <w:color w:val="auto"/>
        </w:rPr>
      </w:pPr>
    </w:p>
    <w:p>
      <w:pPr>
        <w:ind w:left="3160"/>
        <w:spacing w:after="0"/>
        <w:rPr>
          <w:sz w:val="20"/>
          <w:szCs w:val="20"/>
          <w:color w:val="auto"/>
        </w:rPr>
      </w:pPr>
      <w:r>
        <w:rPr>
          <w:rFonts w:ascii="Arial" w:cs="Arial" w:eastAsia="Arial" w:hAnsi="Arial"/>
          <w:sz w:val="16"/>
          <w:szCs w:val="16"/>
          <w:b w:val="1"/>
          <w:bCs w:val="1"/>
          <w:color w:val="auto"/>
        </w:rPr>
        <w:t>_____________________________________________________________</w:t>
      </w:r>
    </w:p>
    <w:p>
      <w:pPr>
        <w:spacing w:after="0" w:line="180"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MYRG</w:t>
            </w:r>
          </w:p>
        </w:tc>
        <w:tc>
          <w:tcPr>
            <w:tcW w:w="4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23"/>
        </w:trPr>
        <w:tc>
          <w:tcPr>
            <w:tcW w:w="466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(Nasdaq Global Market)</w:t>
            </w:r>
          </w:p>
        </w:tc>
      </w:tr>
    </w:tbl>
    <w:p>
      <w:pPr>
        <w:spacing w:after="0" w:line="206" w:lineRule="exact"/>
        <w:rPr>
          <w:sz w:val="24"/>
          <w:szCs w:val="24"/>
          <w:color w:val="auto"/>
        </w:rPr>
      </w:pPr>
    </w:p>
    <w:p>
      <w:pPr>
        <w:ind w:right="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02" w:lineRule="exact"/>
        <w:rPr>
          <w:sz w:val="24"/>
          <w:szCs w:val="24"/>
          <w:color w:val="auto"/>
        </w:rPr>
      </w:pPr>
    </w:p>
    <w:p>
      <w:pPr>
        <w:ind w:right="100"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87" w:lineRule="exact"/>
        <w:rPr>
          <w:sz w:val="24"/>
          <w:szCs w:val="24"/>
          <w:color w:val="auto"/>
        </w:rPr>
      </w:pPr>
    </w:p>
    <w:p>
      <w:pPr>
        <w:ind w:right="36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1920" w:type="dxa"/>
        <w:tblCellMar>
          <w:top w:w="0" w:type="dxa"/>
          <w:left w:w="0" w:type="dxa"/>
          <w:bottom w:w="0" w:type="dxa"/>
          <w:right w:w="0" w:type="dxa"/>
        </w:tblCellMar>
      </w:tblPr>
      <w:tr>
        <w:trPr>
          <w:trHeight w:val="243"/>
        </w:trPr>
        <w:tc>
          <w:tcPr>
            <w:tcW w:w="3340" w:type="dxa"/>
            <w:vAlign w:val="bottom"/>
          </w:tcPr>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3720" w:type="dxa"/>
            <w:vAlign w:val="bottom"/>
          </w:tcPr>
          <w:p>
            <w:pPr>
              <w:ind w:left="170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rPr>
                <w:sz w:val="20"/>
                <w:szCs w:val="20"/>
                <w:color w:val="auto"/>
              </w:rPr>
            </w:pPr>
            <w:r>
              <w:rPr>
                <w:rFonts w:ascii="Arial" w:cs="Arial" w:eastAsia="Arial" w:hAnsi="Arial"/>
                <w:sz w:val="16"/>
                <w:szCs w:val="16"/>
                <w:color w:val="auto"/>
              </w:rPr>
              <w:t>x</w:t>
            </w:r>
          </w:p>
        </w:tc>
      </w:tr>
      <w:tr>
        <w:trPr>
          <w:trHeight w:val="243"/>
        </w:trPr>
        <w:tc>
          <w:tcPr>
            <w:tcW w:w="3340" w:type="dxa"/>
            <w:vAlign w:val="bottom"/>
          </w:tcPr>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3720" w:type="dxa"/>
            <w:vAlign w:val="bottom"/>
          </w:tcPr>
          <w:p>
            <w:pPr>
              <w:ind w:left="170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3340" w:type="dxa"/>
            <w:vAlign w:val="bottom"/>
          </w:tcPr>
          <w:p>
            <w:pPr>
              <w:spacing w:after="0"/>
              <w:rPr>
                <w:sz w:val="22"/>
                <w:szCs w:val="22"/>
                <w:color w:val="auto"/>
              </w:rPr>
            </w:pPr>
          </w:p>
        </w:tc>
        <w:tc>
          <w:tcPr>
            <w:tcW w:w="3720" w:type="dxa"/>
            <w:vAlign w:val="bottom"/>
          </w:tcPr>
          <w:p>
            <w:pPr>
              <w:ind w:left="170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right="28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0" w:lineRule="exact"/>
        <w:rPr>
          <w:sz w:val="24"/>
          <w:szCs w:val="24"/>
          <w:color w:val="auto"/>
        </w:rPr>
      </w:pPr>
    </w:p>
    <w:p>
      <w:pPr>
        <w:ind w:left="340" w:right="2740"/>
        <w:spacing w:after="0" w:line="29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x As of July 23, 2021, there were 16,867,470 outstanding shares of the registrant’s $0.01 par value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Page</w:t>
            </w:r>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20" w:type="dxa"/>
            <w:vAlign w:val="bottom"/>
            <w:gridSpan w:val="11"/>
            <w:shd w:val="clear" w:color="auto" w:fill="CCEEFF"/>
          </w:tcPr>
          <w:p>
            <w:pPr>
              <w:jc w:val="center"/>
              <w:ind w:right="3060"/>
              <w:spacing w:after="0" w:line="183" w:lineRule="exact"/>
              <w:rPr>
                <w:rFonts w:ascii="Arial" w:cs="Arial" w:eastAsia="Arial" w:hAnsi="Arial"/>
                <w:sz w:val="20"/>
                <w:szCs w:val="20"/>
                <w:b w:val="1"/>
                <w:bCs w:val="1"/>
                <w:color w:val="0000FF"/>
                <w:w w:val="94"/>
              </w:rPr>
            </w:pPr>
            <w:hyperlink w:anchor="page2">
              <w:r>
                <w:rPr>
                  <w:rFonts w:ascii="Arial" w:cs="Arial" w:eastAsia="Arial" w:hAnsi="Arial"/>
                  <w:sz w:val="20"/>
                  <w:szCs w:val="20"/>
                  <w:b w:val="1"/>
                  <w:bCs w:val="1"/>
                  <w:color w:val="0000FF"/>
                  <w:w w:val="94"/>
                </w:rPr>
                <w:t>Part I—Financial Information</w:t>
              </w:r>
            </w:hyperlink>
          </w:p>
        </w:tc>
        <w:tc>
          <w:tcPr>
            <w:tcW w:w="1520" w:type="dxa"/>
            <w:vAlign w:val="bottom"/>
            <w:shd w:val="clear" w:color="auto" w:fill="CCEEFF"/>
          </w:tcPr>
          <w:p>
            <w:pPr>
              <w:spacing w:after="0"/>
              <w:rPr>
                <w:sz w:val="17"/>
                <w:szCs w:val="17"/>
                <w:color w:val="auto"/>
              </w:rPr>
            </w:pPr>
          </w:p>
        </w:tc>
      </w:tr>
      <w:tr>
        <w:trPr>
          <w:trHeight w:val="203"/>
        </w:trPr>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5"/>
          </w:tcPr>
          <w:p>
            <w:pPr>
              <w:ind w:left="80"/>
              <w:spacing w:after="0" w:line="203" w:lineRule="exact"/>
              <w:rPr>
                <w:rFonts w:ascii="Arial" w:cs="Arial" w:eastAsia="Arial" w:hAnsi="Arial"/>
                <w:sz w:val="20"/>
                <w:szCs w:val="20"/>
                <w:color w:val="0000FF"/>
              </w:rPr>
            </w:pPr>
            <w:hyperlink w:anchor="page3">
              <w:r>
                <w:rPr>
                  <w:rFonts w:ascii="Arial" w:cs="Arial" w:eastAsia="Arial" w:hAnsi="Arial"/>
                  <w:sz w:val="20"/>
                  <w:szCs w:val="20"/>
                  <w:color w:val="0000FF"/>
                </w:rPr>
                <w:t>Item 1.</w:t>
              </w:r>
            </w:hyperlink>
          </w:p>
        </w:tc>
        <w:tc>
          <w:tcPr>
            <w:tcW w:w="3040" w:type="dxa"/>
            <w:vAlign w:val="bottom"/>
            <w:tcBorders>
              <w:top w:val="single" w:sz="8" w:color="CCEEFF"/>
            </w:tcBorders>
            <w:gridSpan w:val="8"/>
          </w:tcPr>
          <w:p>
            <w:pPr>
              <w:spacing w:after="0" w:line="203" w:lineRule="exact"/>
              <w:rPr>
                <w:rFonts w:ascii="Arial" w:cs="Arial" w:eastAsia="Arial" w:hAnsi="Arial"/>
                <w:sz w:val="20"/>
                <w:szCs w:val="20"/>
                <w:color w:val="0000FF"/>
              </w:rPr>
            </w:pPr>
            <w:hyperlink w:anchor="page3">
              <w:r>
                <w:rPr>
                  <w:rFonts w:ascii="Arial" w:cs="Arial" w:eastAsia="Arial" w:hAnsi="Arial"/>
                  <w:sz w:val="20"/>
                  <w:szCs w:val="20"/>
                  <w:color w:val="0000FF"/>
                </w:rPr>
                <w:t>Financial Statements</w:t>
              </w:r>
            </w:hyperlink>
          </w:p>
        </w:tc>
        <w:tc>
          <w:tcPr>
            <w:tcW w:w="2560" w:type="dxa"/>
            <w:vAlign w:val="bottom"/>
            <w:tcBorders>
              <w:top w:val="single" w:sz="8" w:color="0000FF"/>
            </w:tcBorders>
            <w:gridSpan w:val="5"/>
          </w:tcPr>
          <w:p>
            <w:pPr>
              <w:spacing w:after="0"/>
              <w:rPr>
                <w:sz w:val="17"/>
                <w:szCs w:val="17"/>
                <w:color w:val="auto"/>
              </w:rPr>
            </w:pPr>
          </w:p>
        </w:tc>
        <w:tc>
          <w:tcPr>
            <w:tcW w:w="3060" w:type="dxa"/>
            <w:vAlign w:val="bottom"/>
            <w:tcBorders>
              <w:top w:val="single" w:sz="8" w:color="CCEEFF"/>
            </w:tcBorders>
            <w:gridSpan w:val="6"/>
          </w:tcPr>
          <w:p>
            <w:pPr>
              <w:spacing w:after="0"/>
              <w:rPr>
                <w:sz w:val="17"/>
                <w:szCs w:val="17"/>
                <w:color w:val="auto"/>
              </w:rPr>
            </w:pPr>
          </w:p>
        </w:tc>
        <w:tc>
          <w:tcPr>
            <w:tcW w:w="1520" w:type="dxa"/>
            <w:vAlign w:val="bottom"/>
            <w:tcBorders>
              <w:top w:val="single" w:sz="8" w:color="CCEEFF"/>
            </w:tcBorders>
          </w:tcPr>
          <w:p>
            <w:pPr>
              <w:jc w:val="right"/>
              <w:spacing w:after="0" w:line="202" w:lineRule="exact"/>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23"/>
        </w:trPr>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780" w:type="dxa"/>
            <w:vAlign w:val="bottom"/>
            <w:tcBorders>
              <w:bottom w:val="single" w:sz="8" w:color="0000FF"/>
            </w:tcBorders>
            <w:gridSpan w:val="14"/>
            <w:shd w:val="clear" w:color="auto" w:fill="CCEEFF"/>
          </w:tcPr>
          <w:p>
            <w:pPr>
              <w:spacing w:after="0" w:line="203" w:lineRule="exact"/>
              <w:rPr>
                <w:rFonts w:ascii="Arial" w:cs="Arial" w:eastAsia="Arial" w:hAnsi="Arial"/>
                <w:sz w:val="20"/>
                <w:szCs w:val="20"/>
                <w:color w:val="0000FF"/>
                <w:w w:val="87"/>
              </w:rPr>
            </w:pPr>
            <w:hyperlink w:anchor="page3">
              <w:r>
                <w:rPr>
                  <w:rFonts w:ascii="Arial" w:cs="Arial" w:eastAsia="Arial" w:hAnsi="Arial"/>
                  <w:sz w:val="20"/>
                  <w:szCs w:val="20"/>
                  <w:color w:val="0000FF"/>
                  <w:w w:val="87"/>
                </w:rPr>
                <w:t xml:space="preserve">Consolidated Balance Sheets as of </w:t>
              </w:r>
            </w:hyperlink>
            <w:r>
              <w:rPr>
                <w:rFonts w:ascii="Arial" w:cs="Arial" w:eastAsia="Arial" w:hAnsi="Arial"/>
                <w:sz w:val="20"/>
                <w:szCs w:val="20"/>
                <w:color w:val="0000FF"/>
                <w:w w:val="87"/>
              </w:rPr>
              <w:t xml:space="preserve">June 30, 2021 </w:t>
            </w:r>
            <w:hyperlink w:anchor="page3">
              <w:r>
                <w:rPr>
                  <w:rFonts w:ascii="Arial" w:cs="Arial" w:eastAsia="Arial" w:hAnsi="Arial"/>
                  <w:sz w:val="20"/>
                  <w:szCs w:val="20"/>
                  <w:color w:val="0000FF"/>
                  <w:w w:val="87"/>
                </w:rPr>
                <w:t xml:space="preserve">(unaudited) and </w:t>
              </w:r>
            </w:hyperlink>
            <w:r>
              <w:rPr>
                <w:rFonts w:ascii="Arial" w:cs="Arial" w:eastAsia="Arial" w:hAnsi="Arial"/>
                <w:sz w:val="20"/>
                <w:szCs w:val="20"/>
                <w:color w:val="0000FF"/>
                <w:w w:val="87"/>
              </w:rPr>
              <w:t>December 31, 2020</w:t>
            </w:r>
          </w:p>
        </w:tc>
        <w:tc>
          <w:tcPr>
            <w:tcW w:w="1880" w:type="dxa"/>
            <w:vAlign w:val="bottom"/>
            <w:tcBorders>
              <w:bottom w:val="single" w:sz="8" w:color="CCEEFF"/>
            </w:tcBorders>
            <w:gridSpan w:val="5"/>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line="202" w:lineRule="exact"/>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02"/>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19"/>
          </w:tcPr>
          <w:p>
            <w:pPr>
              <w:spacing w:after="0" w:line="203" w:lineRule="exact"/>
              <w:rPr>
                <w:rFonts w:ascii="Arial" w:cs="Arial" w:eastAsia="Arial" w:hAnsi="Arial"/>
                <w:sz w:val="20"/>
                <w:szCs w:val="20"/>
                <w:color w:val="0000FF"/>
                <w:w w:val="89"/>
              </w:rPr>
            </w:pPr>
            <w:hyperlink w:anchor="page3">
              <w:r>
                <w:rPr>
                  <w:rFonts w:ascii="Arial" w:cs="Arial" w:eastAsia="Arial" w:hAnsi="Arial"/>
                  <w:sz w:val="20"/>
                  <w:szCs w:val="20"/>
                  <w:color w:val="0000FF"/>
                  <w:w w:val="89"/>
                </w:rPr>
                <w:t>Unaudited Consolidated Statements of Operations and Comprehensive Income for the Three and Six Months</w:t>
              </w:r>
            </w:hyperlink>
          </w:p>
        </w:tc>
        <w:tc>
          <w:tcPr>
            <w:tcW w:w="1520" w:type="dxa"/>
            <w:vAlign w:val="bottom"/>
          </w:tcPr>
          <w:p>
            <w:pPr>
              <w:jc w:val="right"/>
              <w:spacing w:after="0" w:line="202" w:lineRule="exact"/>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20" w:type="dxa"/>
            <w:vAlign w:val="bottom"/>
            <w:tcBorders>
              <w:top w:val="single" w:sz="8" w:color="0000FF"/>
            </w:tcBorders>
            <w:gridSpan w:val="18"/>
          </w:tcPr>
          <w:p>
            <w:pPr>
              <w:spacing w:after="0" w:line="169" w:lineRule="exact"/>
              <w:rPr>
                <w:rFonts w:ascii="Arial" w:cs="Arial" w:eastAsia="Arial" w:hAnsi="Arial"/>
                <w:sz w:val="19"/>
                <w:szCs w:val="19"/>
                <w:color w:val="0000FF"/>
              </w:rPr>
            </w:pPr>
            <w:hyperlink w:anchor="page3">
              <w:r>
                <w:rPr>
                  <w:rFonts w:ascii="Arial" w:cs="Arial" w:eastAsia="Arial" w:hAnsi="Arial"/>
                  <w:sz w:val="19"/>
                  <w:szCs w:val="19"/>
                  <w:color w:val="0000FF"/>
                </w:rPr>
                <w:t>Ended June 30, 2021 and 2020</w:t>
              </w:r>
            </w:hyperlink>
          </w:p>
        </w:tc>
        <w:tc>
          <w:tcPr>
            <w:tcW w:w="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2"/>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60" w:type="dxa"/>
            <w:vAlign w:val="bottom"/>
            <w:gridSpan w:val="19"/>
            <w:shd w:val="clear" w:color="auto" w:fill="CCEEFF"/>
          </w:tcPr>
          <w:p>
            <w:pPr>
              <w:spacing w:after="0" w:line="203" w:lineRule="exact"/>
              <w:rPr>
                <w:rFonts w:ascii="Arial" w:cs="Arial" w:eastAsia="Arial" w:hAnsi="Arial"/>
                <w:sz w:val="20"/>
                <w:szCs w:val="20"/>
                <w:color w:val="0000FF"/>
                <w:w w:val="92"/>
              </w:rPr>
            </w:pPr>
            <w:hyperlink w:anchor="page4">
              <w:r>
                <w:rPr>
                  <w:rFonts w:ascii="Arial" w:cs="Arial" w:eastAsia="Arial" w:hAnsi="Arial"/>
                  <w:sz w:val="20"/>
                  <w:szCs w:val="20"/>
                  <w:color w:val="0000FF"/>
                  <w:w w:val="92"/>
                </w:rPr>
                <w:t xml:space="preserve">Unaudited Consolidated Statements of Stockholders’ Equity for the </w:t>
              </w:r>
            </w:hyperlink>
            <w:r>
              <w:rPr>
                <w:rFonts w:ascii="Arial" w:cs="Arial" w:eastAsia="Arial" w:hAnsi="Arial"/>
                <w:sz w:val="20"/>
                <w:szCs w:val="20"/>
                <w:color w:val="0000FF"/>
                <w:w w:val="92"/>
              </w:rPr>
              <w:t xml:space="preserve">Three and Six </w:t>
            </w:r>
            <w:hyperlink w:anchor="page4">
              <w:r>
                <w:rPr>
                  <w:rFonts w:ascii="Arial" w:cs="Arial" w:eastAsia="Arial" w:hAnsi="Arial"/>
                  <w:sz w:val="20"/>
                  <w:szCs w:val="20"/>
                  <w:color w:val="0000FF"/>
                  <w:w w:val="92"/>
                </w:rPr>
                <w:t xml:space="preserve">Months Ended </w:t>
              </w:r>
            </w:hyperlink>
            <w:r>
              <w:rPr>
                <w:rFonts w:ascii="Arial" w:cs="Arial" w:eastAsia="Arial" w:hAnsi="Arial"/>
                <w:sz w:val="20"/>
                <w:szCs w:val="20"/>
                <w:color w:val="0000FF"/>
                <w:w w:val="92"/>
              </w:rPr>
              <w:t>June 30,</w:t>
            </w:r>
          </w:p>
        </w:tc>
        <w:tc>
          <w:tcPr>
            <w:tcW w:w="1520" w:type="dxa"/>
            <w:vAlign w:val="bottom"/>
            <w:shd w:val="clear" w:color="auto" w:fill="CCEEFF"/>
          </w:tcPr>
          <w:p>
            <w:pPr>
              <w:jc w:val="right"/>
              <w:spacing w:after="0" w:line="202" w:lineRule="exact"/>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169"/>
        </w:trPr>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420" w:type="dxa"/>
            <w:vAlign w:val="bottom"/>
            <w:tcBorders>
              <w:top w:val="single" w:sz="8" w:color="0000FF"/>
            </w:tcBorders>
            <w:gridSpan w:val="17"/>
            <w:shd w:val="clear" w:color="auto" w:fill="CCEEFF"/>
          </w:tcPr>
          <w:p>
            <w:pPr>
              <w:spacing w:after="0" w:line="169" w:lineRule="exact"/>
              <w:rPr>
                <w:rFonts w:ascii="Arial" w:cs="Arial" w:eastAsia="Arial" w:hAnsi="Arial"/>
                <w:sz w:val="19"/>
                <w:szCs w:val="19"/>
                <w:color w:val="0000FF"/>
              </w:rPr>
            </w:pPr>
            <w:r>
              <w:rPr>
                <w:rFonts w:ascii="Arial" w:cs="Arial" w:eastAsia="Arial" w:hAnsi="Arial"/>
                <w:sz w:val="19"/>
                <w:szCs w:val="19"/>
                <w:color w:val="0000FF"/>
              </w:rPr>
              <w:t xml:space="preserve">2021 </w:t>
            </w:r>
            <w:hyperlink w:anchor="page4">
              <w:r>
                <w:rPr>
                  <w:rFonts w:ascii="Arial" w:cs="Arial" w:eastAsia="Arial" w:hAnsi="Arial"/>
                  <w:sz w:val="19"/>
                  <w:szCs w:val="19"/>
                  <w:color w:val="0000FF"/>
                </w:rPr>
                <w:t xml:space="preserve">and </w:t>
              </w:r>
            </w:hyperlink>
            <w:r>
              <w:rPr>
                <w:rFonts w:ascii="Arial" w:cs="Arial" w:eastAsia="Arial" w:hAnsi="Arial"/>
                <w:sz w:val="19"/>
                <w:szCs w:val="19"/>
                <w:color w:val="0000FF"/>
              </w:rPr>
              <w:t>2020</w:t>
            </w:r>
          </w:p>
        </w:tc>
        <w:tc>
          <w:tcPr>
            <w:tcW w:w="240" w:type="dxa"/>
            <w:vAlign w:val="bottom"/>
            <w:tcBorders>
              <w:top w:val="single" w:sz="8" w:color="CCEEFF"/>
            </w:tcBorders>
            <w:gridSpan w:val="2"/>
            <w:shd w:val="clear" w:color="auto" w:fill="CCEEFF"/>
          </w:tcPr>
          <w:p>
            <w:pPr>
              <w:spacing w:after="0"/>
              <w:rPr>
                <w:sz w:val="14"/>
                <w:szCs w:val="14"/>
                <w:color w:val="auto"/>
              </w:rPr>
            </w:pPr>
          </w:p>
        </w:tc>
        <w:tc>
          <w:tcPr>
            <w:tcW w:w="1520" w:type="dxa"/>
            <w:vAlign w:val="bottom"/>
            <w:tcBorders>
              <w:top w:val="single" w:sz="8" w:color="CCEEFF"/>
            </w:tcBorders>
            <w:shd w:val="clear" w:color="auto" w:fill="CCEEFF"/>
          </w:tcPr>
          <w:p>
            <w:pPr>
              <w:spacing w:after="0"/>
              <w:rPr>
                <w:sz w:val="14"/>
                <w:szCs w:val="14"/>
                <w:color w:val="auto"/>
              </w:rPr>
            </w:pP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19"/>
          </w:tcPr>
          <w:p>
            <w:pPr>
              <w:spacing w:after="0" w:line="203" w:lineRule="exact"/>
              <w:rPr>
                <w:rFonts w:ascii="Arial" w:cs="Arial" w:eastAsia="Arial" w:hAnsi="Arial"/>
                <w:sz w:val="20"/>
                <w:szCs w:val="20"/>
                <w:color w:val="0000FF"/>
                <w:w w:val="95"/>
              </w:rPr>
            </w:pPr>
            <w:hyperlink w:anchor="page5">
              <w:r>
                <w:rPr>
                  <w:rFonts w:ascii="Arial" w:cs="Arial" w:eastAsia="Arial" w:hAnsi="Arial"/>
                  <w:sz w:val="20"/>
                  <w:szCs w:val="20"/>
                  <w:color w:val="0000FF"/>
                  <w:w w:val="95"/>
                </w:rPr>
                <w:t xml:space="preserve">Unaudited Consolidated Statements of Cash Flows for the </w:t>
              </w:r>
            </w:hyperlink>
            <w:r>
              <w:rPr>
                <w:rFonts w:ascii="Arial" w:cs="Arial" w:eastAsia="Arial" w:hAnsi="Arial"/>
                <w:sz w:val="20"/>
                <w:szCs w:val="20"/>
                <w:color w:val="0000FF"/>
                <w:w w:val="95"/>
              </w:rPr>
              <w:t xml:space="preserve">Six Months Ended June 30, 2021 </w:t>
            </w:r>
            <w:hyperlink w:anchor="page5">
              <w:r>
                <w:rPr>
                  <w:rFonts w:ascii="Arial" w:cs="Arial" w:eastAsia="Arial" w:hAnsi="Arial"/>
                  <w:sz w:val="20"/>
                  <w:szCs w:val="20"/>
                  <w:color w:val="0000FF"/>
                  <w:w w:val="95"/>
                </w:rPr>
                <w:t xml:space="preserve">and </w:t>
              </w:r>
            </w:hyperlink>
            <w:r>
              <w:rPr>
                <w:rFonts w:ascii="Arial" w:cs="Arial" w:eastAsia="Arial" w:hAnsi="Arial"/>
                <w:sz w:val="20"/>
                <w:szCs w:val="20"/>
                <w:color w:val="0000FF"/>
                <w:w w:val="95"/>
              </w:rPr>
              <w:t>2020</w:t>
            </w:r>
          </w:p>
        </w:tc>
        <w:tc>
          <w:tcPr>
            <w:tcW w:w="1520" w:type="dxa"/>
            <w:vAlign w:val="bottom"/>
          </w:tcPr>
          <w:p>
            <w:pPr>
              <w:jc w:val="right"/>
              <w:spacing w:after="0" w:line="202" w:lineRule="exact"/>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1"/>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60" w:type="dxa"/>
            <w:vAlign w:val="bottom"/>
            <w:gridSpan w:val="19"/>
            <w:shd w:val="clear" w:color="auto" w:fill="CCEEFF"/>
          </w:tcPr>
          <w:p>
            <w:pPr>
              <w:spacing w:after="0" w:line="203" w:lineRule="exact"/>
              <w:rPr>
                <w:rFonts w:ascii="Arial" w:cs="Arial" w:eastAsia="Arial" w:hAnsi="Arial"/>
                <w:sz w:val="20"/>
                <w:szCs w:val="20"/>
                <w:color w:val="0000FF"/>
              </w:rPr>
            </w:pPr>
            <w:hyperlink w:anchor="page6">
              <w:r>
                <w:rPr>
                  <w:rFonts w:ascii="Arial" w:cs="Arial" w:eastAsia="Arial" w:hAnsi="Arial"/>
                  <w:sz w:val="20"/>
                  <w:szCs w:val="20"/>
                  <w:color w:val="0000FF"/>
                </w:rPr>
                <w:t>Notes to Unaudited Consolidated Financial Statements</w:t>
              </w:r>
            </w:hyperlink>
          </w:p>
        </w:tc>
        <w:tc>
          <w:tcPr>
            <w:tcW w:w="1520" w:type="dxa"/>
            <w:vAlign w:val="bottom"/>
            <w:shd w:val="clear" w:color="auto" w:fill="CCEEFF"/>
          </w:tcPr>
          <w:p>
            <w:pPr>
              <w:jc w:val="right"/>
              <w:spacing w:after="0" w:line="202" w:lineRule="exact"/>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1060" w:type="dxa"/>
            <w:vAlign w:val="bottom"/>
            <w:gridSpan w:val="6"/>
          </w:tcPr>
          <w:p>
            <w:pPr>
              <w:ind w:left="60"/>
              <w:spacing w:after="0" w:line="203" w:lineRule="exact"/>
              <w:rPr>
                <w:rFonts w:ascii="Arial" w:cs="Arial" w:eastAsia="Arial" w:hAnsi="Arial"/>
                <w:sz w:val="20"/>
                <w:szCs w:val="20"/>
                <w:color w:val="0000FF"/>
              </w:rPr>
            </w:pPr>
            <w:hyperlink w:anchor="page21">
              <w:r>
                <w:rPr>
                  <w:rFonts w:ascii="Arial" w:cs="Arial" w:eastAsia="Arial" w:hAnsi="Arial"/>
                  <w:sz w:val="20"/>
                  <w:szCs w:val="20"/>
                  <w:color w:val="0000FF"/>
                </w:rPr>
                <w:t>Item 2.</w:t>
              </w:r>
            </w:hyperlink>
          </w:p>
        </w:tc>
        <w:tc>
          <w:tcPr>
            <w:tcW w:w="8660" w:type="dxa"/>
            <w:vAlign w:val="bottom"/>
            <w:gridSpan w:val="19"/>
          </w:tcPr>
          <w:p>
            <w:pPr>
              <w:spacing w:after="0" w:line="203" w:lineRule="exact"/>
              <w:rPr>
                <w:rFonts w:ascii="Arial" w:cs="Arial" w:eastAsia="Arial" w:hAnsi="Arial"/>
                <w:sz w:val="20"/>
                <w:szCs w:val="20"/>
                <w:color w:val="0000FF"/>
              </w:rPr>
            </w:pPr>
            <w:hyperlink w:anchor="page21">
              <w:r>
                <w:rPr>
                  <w:rFonts w:ascii="Arial" w:cs="Arial" w:eastAsia="Arial" w:hAnsi="Arial"/>
                  <w:sz w:val="20"/>
                  <w:szCs w:val="20"/>
                  <w:color w:val="0000FF"/>
                </w:rPr>
                <w:t>Management’s Discussion and Analysis of Financial Condition and Results of Operations</w:t>
              </w:r>
            </w:hyperlink>
          </w:p>
        </w:tc>
        <w:tc>
          <w:tcPr>
            <w:tcW w:w="1520" w:type="dxa"/>
            <w:vAlign w:val="bottom"/>
          </w:tcPr>
          <w:p>
            <w:pPr>
              <w:jc w:val="right"/>
              <w:spacing w:after="0" w:line="202" w:lineRule="exact"/>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1"/>
        </w:trPr>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rFonts w:ascii="Arial" w:cs="Arial" w:eastAsia="Arial" w:hAnsi="Arial"/>
                <w:sz w:val="20"/>
                <w:szCs w:val="20"/>
                <w:color w:val="0000FF"/>
              </w:rPr>
            </w:pPr>
            <w:hyperlink w:anchor="page33">
              <w:r>
                <w:rPr>
                  <w:rFonts w:ascii="Arial" w:cs="Arial" w:eastAsia="Arial" w:hAnsi="Arial"/>
                  <w:sz w:val="20"/>
                  <w:szCs w:val="20"/>
                  <w:color w:val="0000FF"/>
                </w:rPr>
                <w:t>Item 3.</w:t>
              </w:r>
            </w:hyperlink>
          </w:p>
        </w:tc>
        <w:tc>
          <w:tcPr>
            <w:tcW w:w="8660" w:type="dxa"/>
            <w:vAlign w:val="bottom"/>
            <w:gridSpan w:val="19"/>
            <w:shd w:val="clear" w:color="auto" w:fill="CCEEFF"/>
          </w:tcPr>
          <w:p>
            <w:pPr>
              <w:spacing w:after="0" w:line="203" w:lineRule="exact"/>
              <w:rPr>
                <w:rFonts w:ascii="Arial" w:cs="Arial" w:eastAsia="Arial" w:hAnsi="Arial"/>
                <w:sz w:val="20"/>
                <w:szCs w:val="20"/>
                <w:color w:val="0000FF"/>
              </w:rPr>
            </w:pPr>
            <w:hyperlink w:anchor="page33">
              <w:r>
                <w:rPr>
                  <w:rFonts w:ascii="Arial" w:cs="Arial" w:eastAsia="Arial" w:hAnsi="Arial"/>
                  <w:sz w:val="20"/>
                  <w:szCs w:val="20"/>
                  <w:color w:val="0000FF"/>
                </w:rPr>
                <w:t>Quantitative and Qualitative Disclosures About Market Risk</w:t>
              </w:r>
            </w:hyperlink>
          </w:p>
        </w:tc>
        <w:tc>
          <w:tcPr>
            <w:tcW w:w="1520" w:type="dxa"/>
            <w:vAlign w:val="bottom"/>
            <w:shd w:val="clear" w:color="auto" w:fill="CCEEFF"/>
          </w:tcPr>
          <w:p>
            <w:pPr>
              <w:jc w:val="right"/>
              <w:spacing w:after="0" w:line="202" w:lineRule="exact"/>
              <w:rPr>
                <w:rFonts w:ascii="Arial" w:cs="Arial" w:eastAsia="Arial" w:hAnsi="Arial"/>
                <w:sz w:val="18"/>
                <w:szCs w:val="18"/>
                <w:color w:val="auto"/>
              </w:rPr>
            </w:pPr>
            <w:hyperlink w:anchor="page33">
              <w:r>
                <w:rPr>
                  <w:rFonts w:ascii="Arial" w:cs="Arial" w:eastAsia="Arial" w:hAnsi="Arial"/>
                  <w:sz w:val="18"/>
                  <w:szCs w:val="18"/>
                  <w:color w:val="auto"/>
                </w:rPr>
                <w:t>32</w:t>
              </w:r>
            </w:hyperlink>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000" w:type="dxa"/>
            <w:vAlign w:val="bottom"/>
            <w:gridSpan w:val="5"/>
          </w:tcPr>
          <w:p>
            <w:pPr>
              <w:spacing w:after="0" w:line="203" w:lineRule="exact"/>
              <w:rPr>
                <w:rFonts w:ascii="Arial" w:cs="Arial" w:eastAsia="Arial" w:hAnsi="Arial"/>
                <w:sz w:val="20"/>
                <w:szCs w:val="20"/>
                <w:color w:val="0000FF"/>
              </w:rPr>
            </w:pPr>
            <w:hyperlink w:anchor="page33">
              <w:r>
                <w:rPr>
                  <w:rFonts w:ascii="Arial" w:cs="Arial" w:eastAsia="Arial" w:hAnsi="Arial"/>
                  <w:sz w:val="20"/>
                  <w:szCs w:val="20"/>
                  <w:color w:val="0000FF"/>
                </w:rPr>
                <w:t>Item 4.</w:t>
              </w:r>
            </w:hyperlink>
          </w:p>
        </w:tc>
        <w:tc>
          <w:tcPr>
            <w:tcW w:w="8660" w:type="dxa"/>
            <w:vAlign w:val="bottom"/>
            <w:gridSpan w:val="19"/>
          </w:tcPr>
          <w:p>
            <w:pPr>
              <w:spacing w:after="0" w:line="203" w:lineRule="exact"/>
              <w:rPr>
                <w:rFonts w:ascii="Arial" w:cs="Arial" w:eastAsia="Arial" w:hAnsi="Arial"/>
                <w:sz w:val="20"/>
                <w:szCs w:val="20"/>
                <w:color w:val="0000FF"/>
              </w:rPr>
            </w:pPr>
            <w:hyperlink w:anchor="page33">
              <w:r>
                <w:rPr>
                  <w:rFonts w:ascii="Arial" w:cs="Arial" w:eastAsia="Arial" w:hAnsi="Arial"/>
                  <w:sz w:val="20"/>
                  <w:szCs w:val="20"/>
                  <w:color w:val="0000FF"/>
                </w:rPr>
                <w:t>Controls and Procedures</w:t>
              </w:r>
            </w:hyperlink>
          </w:p>
        </w:tc>
        <w:tc>
          <w:tcPr>
            <w:tcW w:w="1520" w:type="dxa"/>
            <w:vAlign w:val="bottom"/>
          </w:tcPr>
          <w:p>
            <w:pPr>
              <w:jc w:val="right"/>
              <w:spacing w:after="0" w:line="202" w:lineRule="exact"/>
              <w:rPr>
                <w:rFonts w:ascii="Arial" w:cs="Arial" w:eastAsia="Arial" w:hAnsi="Arial"/>
                <w:sz w:val="18"/>
                <w:szCs w:val="18"/>
                <w:color w:val="auto"/>
              </w:rPr>
            </w:pPr>
            <w:hyperlink w:anchor="page33">
              <w:r>
                <w:rPr>
                  <w:rFonts w:ascii="Arial" w:cs="Arial" w:eastAsia="Arial" w:hAnsi="Arial"/>
                  <w:sz w:val="18"/>
                  <w:szCs w:val="18"/>
                  <w:color w:val="auto"/>
                </w:rPr>
                <w:t>32</w:t>
              </w:r>
            </w:hyperlink>
          </w:p>
        </w:tc>
      </w:tr>
      <w:tr>
        <w:trPr>
          <w:trHeight w:val="20"/>
        </w:trPr>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23"/>
        </w:trPr>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520" w:type="dxa"/>
            <w:vAlign w:val="bottom"/>
            <w:gridSpan w:val="10"/>
            <w:shd w:val="clear" w:color="auto" w:fill="CCEEFF"/>
          </w:tcPr>
          <w:p>
            <w:pPr>
              <w:jc w:val="center"/>
              <w:ind w:right="3160"/>
              <w:spacing w:after="0" w:line="203" w:lineRule="exact"/>
              <w:rPr>
                <w:rFonts w:ascii="Arial" w:cs="Arial" w:eastAsia="Arial" w:hAnsi="Arial"/>
                <w:sz w:val="20"/>
                <w:szCs w:val="20"/>
                <w:b w:val="1"/>
                <w:bCs w:val="1"/>
                <w:color w:val="0000FF"/>
                <w:w w:val="96"/>
              </w:rPr>
            </w:pPr>
            <w:hyperlink w:anchor="page33">
              <w:r>
                <w:rPr>
                  <w:rFonts w:ascii="Arial" w:cs="Arial" w:eastAsia="Arial" w:hAnsi="Arial"/>
                  <w:sz w:val="20"/>
                  <w:szCs w:val="20"/>
                  <w:b w:val="1"/>
                  <w:bCs w:val="1"/>
                  <w:color w:val="0000FF"/>
                  <w:w w:val="96"/>
                </w:rPr>
                <w:t>Part II—Other Information</w:t>
              </w:r>
            </w:hyperlink>
          </w:p>
        </w:tc>
        <w:tc>
          <w:tcPr>
            <w:tcW w:w="1520" w:type="dxa"/>
            <w:vAlign w:val="bottom"/>
            <w:shd w:val="clear" w:color="auto" w:fill="CCEEFF"/>
          </w:tcPr>
          <w:p>
            <w:pPr>
              <w:spacing w:after="0"/>
              <w:rPr>
                <w:sz w:val="19"/>
                <w:szCs w:val="19"/>
                <w:color w:val="auto"/>
              </w:rPr>
            </w:pPr>
          </w:p>
        </w:tc>
      </w:tr>
      <w:tr>
        <w:trPr>
          <w:trHeight w:val="202"/>
        </w:trPr>
        <w:tc>
          <w:tcPr>
            <w:tcW w:w="1060" w:type="dxa"/>
            <w:vAlign w:val="bottom"/>
            <w:tcBorders>
              <w:top w:val="single" w:sz="8" w:color="CCEEFF"/>
            </w:tcBorders>
            <w:gridSpan w:val="6"/>
          </w:tcPr>
          <w:p>
            <w:pPr>
              <w:ind w:left="60"/>
              <w:spacing w:after="0" w:line="203" w:lineRule="exact"/>
              <w:rPr>
                <w:rFonts w:ascii="Arial" w:cs="Arial" w:eastAsia="Arial" w:hAnsi="Arial"/>
                <w:sz w:val="20"/>
                <w:szCs w:val="20"/>
                <w:color w:val="0000FF"/>
              </w:rPr>
            </w:pPr>
            <w:hyperlink w:anchor="page34">
              <w:r>
                <w:rPr>
                  <w:rFonts w:ascii="Arial" w:cs="Arial" w:eastAsia="Arial" w:hAnsi="Arial"/>
                  <w:sz w:val="20"/>
                  <w:szCs w:val="20"/>
                  <w:color w:val="0000FF"/>
                </w:rPr>
                <w:t>Item 1.</w:t>
              </w:r>
            </w:hyperlink>
          </w:p>
        </w:tc>
        <w:tc>
          <w:tcPr>
            <w:tcW w:w="3140" w:type="dxa"/>
            <w:vAlign w:val="bottom"/>
            <w:tcBorders>
              <w:top w:val="single" w:sz="8" w:color="CCEEFF"/>
            </w:tcBorders>
            <w:gridSpan w:val="9"/>
          </w:tcPr>
          <w:p>
            <w:pPr>
              <w:spacing w:after="0" w:line="203" w:lineRule="exact"/>
              <w:rPr>
                <w:rFonts w:ascii="Arial" w:cs="Arial" w:eastAsia="Arial" w:hAnsi="Arial"/>
                <w:sz w:val="20"/>
                <w:szCs w:val="20"/>
                <w:color w:val="0000FF"/>
              </w:rPr>
            </w:pPr>
            <w:hyperlink w:anchor="page34">
              <w:r>
                <w:rPr>
                  <w:rFonts w:ascii="Arial" w:cs="Arial" w:eastAsia="Arial" w:hAnsi="Arial"/>
                  <w:sz w:val="20"/>
                  <w:szCs w:val="20"/>
                  <w:color w:val="0000FF"/>
                </w:rPr>
                <w:t>Legal Proceedings</w:t>
              </w:r>
            </w:hyperlink>
          </w:p>
        </w:tc>
        <w:tc>
          <w:tcPr>
            <w:tcW w:w="2360" w:type="dxa"/>
            <w:vAlign w:val="bottom"/>
            <w:tcBorders>
              <w:top w:val="single" w:sz="8" w:color="0000FF"/>
            </w:tcBorders>
            <w:gridSpan w:val="3"/>
          </w:tcPr>
          <w:p>
            <w:pPr>
              <w:spacing w:after="0"/>
              <w:rPr>
                <w:sz w:val="17"/>
                <w:szCs w:val="17"/>
                <w:color w:val="auto"/>
              </w:rPr>
            </w:pPr>
          </w:p>
        </w:tc>
        <w:tc>
          <w:tcPr>
            <w:tcW w:w="3160" w:type="dxa"/>
            <w:vAlign w:val="bottom"/>
            <w:tcBorders>
              <w:top w:val="single" w:sz="8" w:color="CCEEFF"/>
            </w:tcBorders>
            <w:gridSpan w:val="7"/>
          </w:tcPr>
          <w:p>
            <w:pPr>
              <w:spacing w:after="0"/>
              <w:rPr>
                <w:sz w:val="17"/>
                <w:szCs w:val="17"/>
                <w:color w:val="auto"/>
              </w:rPr>
            </w:pPr>
          </w:p>
        </w:tc>
        <w:tc>
          <w:tcPr>
            <w:tcW w:w="1520" w:type="dxa"/>
            <w:vAlign w:val="bottom"/>
            <w:tcBorders>
              <w:top w:val="single" w:sz="8" w:color="CCEEFF"/>
            </w:tcBorders>
          </w:tcPr>
          <w:p>
            <w:pPr>
              <w:jc w:val="right"/>
              <w:spacing w:after="0" w:line="202" w:lineRule="exact"/>
              <w:rPr>
                <w:rFonts w:ascii="Arial" w:cs="Arial" w:eastAsia="Arial" w:hAnsi="Arial"/>
                <w:sz w:val="18"/>
                <w:szCs w:val="18"/>
                <w:color w:val="auto"/>
              </w:rPr>
            </w:pPr>
            <w:hyperlink w:anchor="page34">
              <w:r>
                <w:rPr>
                  <w:rFonts w:ascii="Arial" w:cs="Arial" w:eastAsia="Arial" w:hAnsi="Arial"/>
                  <w:sz w:val="18"/>
                  <w:szCs w:val="18"/>
                  <w:color w:val="auto"/>
                </w:rPr>
                <w:t>33</w:t>
              </w:r>
            </w:hyperlink>
          </w:p>
        </w:tc>
      </w:tr>
      <w:tr>
        <w:trPr>
          <w:trHeight w:val="21"/>
        </w:trPr>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rFonts w:ascii="Arial" w:cs="Arial" w:eastAsia="Arial" w:hAnsi="Arial"/>
                <w:sz w:val="20"/>
                <w:szCs w:val="20"/>
                <w:color w:val="0000FF"/>
              </w:rPr>
            </w:pPr>
            <w:hyperlink w:anchor="page34">
              <w:r>
                <w:rPr>
                  <w:rFonts w:ascii="Arial" w:cs="Arial" w:eastAsia="Arial" w:hAnsi="Arial"/>
                  <w:sz w:val="20"/>
                  <w:szCs w:val="20"/>
                  <w:color w:val="0000FF"/>
                </w:rPr>
                <w:t>Item 1A.</w:t>
              </w:r>
            </w:hyperlink>
          </w:p>
        </w:tc>
        <w:tc>
          <w:tcPr>
            <w:tcW w:w="8660" w:type="dxa"/>
            <w:vAlign w:val="bottom"/>
            <w:gridSpan w:val="19"/>
            <w:shd w:val="clear" w:color="auto" w:fill="CCEEFF"/>
          </w:tcPr>
          <w:p>
            <w:pPr>
              <w:spacing w:after="0" w:line="203" w:lineRule="exact"/>
              <w:rPr>
                <w:rFonts w:ascii="Arial" w:cs="Arial" w:eastAsia="Arial" w:hAnsi="Arial"/>
                <w:sz w:val="20"/>
                <w:szCs w:val="20"/>
                <w:color w:val="0000FF"/>
              </w:rPr>
            </w:pPr>
            <w:hyperlink w:anchor="page34">
              <w:r>
                <w:rPr>
                  <w:rFonts w:ascii="Arial" w:cs="Arial" w:eastAsia="Arial" w:hAnsi="Arial"/>
                  <w:sz w:val="20"/>
                  <w:szCs w:val="20"/>
                  <w:color w:val="0000FF"/>
                </w:rPr>
                <w:t>Risk Factors</w:t>
              </w:r>
            </w:hyperlink>
          </w:p>
        </w:tc>
        <w:tc>
          <w:tcPr>
            <w:tcW w:w="1520" w:type="dxa"/>
            <w:vAlign w:val="bottom"/>
            <w:shd w:val="clear" w:color="auto" w:fill="CCEEFF"/>
          </w:tcPr>
          <w:p>
            <w:pPr>
              <w:jc w:val="right"/>
              <w:spacing w:after="0" w:line="202" w:lineRule="exact"/>
              <w:rPr>
                <w:rFonts w:ascii="Arial" w:cs="Arial" w:eastAsia="Arial" w:hAnsi="Arial"/>
                <w:sz w:val="18"/>
                <w:szCs w:val="18"/>
                <w:color w:val="auto"/>
              </w:rPr>
            </w:pPr>
            <w:hyperlink w:anchor="page34">
              <w:r>
                <w:rPr>
                  <w:rFonts w:ascii="Arial" w:cs="Arial" w:eastAsia="Arial" w:hAnsi="Arial"/>
                  <w:sz w:val="18"/>
                  <w:szCs w:val="18"/>
                  <w:color w:val="auto"/>
                </w:rPr>
                <w:t>33</w:t>
              </w:r>
            </w:hyperlink>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700" w:type="dxa"/>
            <w:vAlign w:val="bottom"/>
            <w:gridSpan w:val="4"/>
          </w:tcPr>
          <w:p>
            <w:pPr>
              <w:spacing w:after="0" w:line="203" w:lineRule="exact"/>
              <w:rPr>
                <w:rFonts w:ascii="Arial" w:cs="Arial" w:eastAsia="Arial" w:hAnsi="Arial"/>
                <w:sz w:val="20"/>
                <w:szCs w:val="20"/>
                <w:color w:val="0000FF"/>
              </w:rPr>
            </w:pPr>
            <w:hyperlink w:anchor="page34">
              <w:r>
                <w:rPr>
                  <w:rFonts w:ascii="Arial" w:cs="Arial" w:eastAsia="Arial" w:hAnsi="Arial"/>
                  <w:sz w:val="20"/>
                  <w:szCs w:val="20"/>
                  <w:color w:val="0000FF"/>
                </w:rPr>
                <w:t>Item 2.</w:t>
              </w:r>
            </w:hyperlink>
          </w:p>
        </w:tc>
        <w:tc>
          <w:tcPr>
            <w:tcW w:w="300" w:type="dxa"/>
            <w:vAlign w:val="bottom"/>
          </w:tcPr>
          <w:p>
            <w:pPr>
              <w:spacing w:after="0"/>
              <w:rPr>
                <w:sz w:val="17"/>
                <w:szCs w:val="17"/>
                <w:color w:val="auto"/>
              </w:rPr>
            </w:pPr>
          </w:p>
        </w:tc>
        <w:tc>
          <w:tcPr>
            <w:tcW w:w="8660" w:type="dxa"/>
            <w:vAlign w:val="bottom"/>
            <w:gridSpan w:val="19"/>
          </w:tcPr>
          <w:p>
            <w:pPr>
              <w:spacing w:after="0" w:line="203" w:lineRule="exact"/>
              <w:rPr>
                <w:rFonts w:ascii="Arial" w:cs="Arial" w:eastAsia="Arial" w:hAnsi="Arial"/>
                <w:sz w:val="20"/>
                <w:szCs w:val="20"/>
                <w:color w:val="0000FF"/>
              </w:rPr>
            </w:pPr>
            <w:hyperlink w:anchor="page34">
              <w:r>
                <w:rPr>
                  <w:rFonts w:ascii="Arial" w:cs="Arial" w:eastAsia="Arial" w:hAnsi="Arial"/>
                  <w:sz w:val="20"/>
                  <w:szCs w:val="20"/>
                  <w:color w:val="0000FF"/>
                </w:rPr>
                <w:t>Unregistered Sales of Equity Securities and Use of Proceeds</w:t>
              </w:r>
            </w:hyperlink>
          </w:p>
        </w:tc>
        <w:tc>
          <w:tcPr>
            <w:tcW w:w="1520" w:type="dxa"/>
            <w:vAlign w:val="bottom"/>
          </w:tcPr>
          <w:p>
            <w:pPr>
              <w:jc w:val="right"/>
              <w:spacing w:after="0" w:line="202" w:lineRule="exact"/>
              <w:rPr>
                <w:rFonts w:ascii="Arial" w:cs="Arial" w:eastAsia="Arial" w:hAnsi="Arial"/>
                <w:sz w:val="18"/>
                <w:szCs w:val="18"/>
                <w:color w:val="auto"/>
              </w:rPr>
            </w:pPr>
            <w:hyperlink w:anchor="page34">
              <w:r>
                <w:rPr>
                  <w:rFonts w:ascii="Arial" w:cs="Arial" w:eastAsia="Arial" w:hAnsi="Arial"/>
                  <w:sz w:val="18"/>
                  <w:szCs w:val="18"/>
                  <w:color w:val="auto"/>
                </w:rPr>
                <w:t>33</w:t>
              </w:r>
            </w:hyperlink>
          </w:p>
        </w:tc>
      </w:tr>
      <w:tr>
        <w:trPr>
          <w:trHeight w:val="21"/>
        </w:trPr>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3"/>
        </w:trPr>
        <w:tc>
          <w:tcPr>
            <w:tcW w:w="1060" w:type="dxa"/>
            <w:vAlign w:val="bottom"/>
            <w:gridSpan w:val="6"/>
            <w:shd w:val="clear" w:color="auto" w:fill="CCEEFF"/>
          </w:tcPr>
          <w:p>
            <w:pPr>
              <w:ind w:left="60"/>
              <w:spacing w:after="0" w:line="203" w:lineRule="exact"/>
              <w:rPr>
                <w:rFonts w:ascii="Arial" w:cs="Arial" w:eastAsia="Arial" w:hAnsi="Arial"/>
                <w:sz w:val="20"/>
                <w:szCs w:val="20"/>
                <w:color w:val="0000FF"/>
              </w:rPr>
            </w:pPr>
            <w:hyperlink w:anchor="page34">
              <w:r>
                <w:rPr>
                  <w:rFonts w:ascii="Arial" w:cs="Arial" w:eastAsia="Arial" w:hAnsi="Arial"/>
                  <w:sz w:val="20"/>
                  <w:szCs w:val="20"/>
                  <w:color w:val="0000FF"/>
                </w:rPr>
                <w:t>Item 6.</w:t>
              </w:r>
            </w:hyperlink>
          </w:p>
        </w:tc>
        <w:tc>
          <w:tcPr>
            <w:tcW w:w="8660" w:type="dxa"/>
            <w:vAlign w:val="bottom"/>
            <w:gridSpan w:val="19"/>
            <w:shd w:val="clear" w:color="auto" w:fill="CCEEFF"/>
          </w:tcPr>
          <w:p>
            <w:pPr>
              <w:spacing w:after="0" w:line="203" w:lineRule="exact"/>
              <w:rPr>
                <w:rFonts w:ascii="Arial" w:cs="Arial" w:eastAsia="Arial" w:hAnsi="Arial"/>
                <w:sz w:val="20"/>
                <w:szCs w:val="20"/>
                <w:color w:val="0000FF"/>
              </w:rPr>
            </w:pPr>
            <w:hyperlink w:anchor="page34">
              <w:r>
                <w:rPr>
                  <w:rFonts w:ascii="Arial" w:cs="Arial" w:eastAsia="Arial" w:hAnsi="Arial"/>
                  <w:sz w:val="20"/>
                  <w:szCs w:val="20"/>
                  <w:color w:val="0000FF"/>
                </w:rPr>
                <w:t>Exhibits</w:t>
              </w:r>
            </w:hyperlink>
          </w:p>
        </w:tc>
        <w:tc>
          <w:tcPr>
            <w:tcW w:w="1520" w:type="dxa"/>
            <w:vAlign w:val="bottom"/>
            <w:shd w:val="clear" w:color="auto" w:fill="CCEEFF"/>
          </w:tcPr>
          <w:p>
            <w:pPr>
              <w:jc w:val="right"/>
              <w:spacing w:after="0" w:line="202" w:lineRule="exact"/>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9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December 31,</w:t>
            </w:r>
          </w:p>
        </w:tc>
      </w:tr>
      <w:tr>
        <w:trPr>
          <w:trHeight w:val="186"/>
        </w:trPr>
        <w:tc>
          <w:tcPr>
            <w:tcW w:w="85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0" w:type="dxa"/>
            <w:vAlign w:val="bottom"/>
          </w:tcPr>
          <w:p>
            <w:pPr>
              <w:spacing w:after="0"/>
              <w:rPr>
                <w:sz w:val="16"/>
                <w:szCs w:val="16"/>
                <w:color w:val="auto"/>
              </w:rPr>
            </w:pPr>
          </w:p>
        </w:tc>
        <w:tc>
          <w:tcPr>
            <w:tcW w:w="1080" w:type="dxa"/>
            <w:vAlign w:val="bottom"/>
          </w:tcPr>
          <w:p>
            <w:pPr>
              <w:jc w:val="center"/>
              <w:ind w:right="12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26"/>
        </w:trPr>
        <w:tc>
          <w:tcPr>
            <w:tcW w:w="8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(unaudited)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394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1"/>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68,322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22,668</w:t>
            </w:r>
          </w:p>
        </w:tc>
      </w:tr>
      <w:tr>
        <w:trPr>
          <w:trHeight w:val="190"/>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Accounts receivable, net of allowances of $1,980 and $1,696, respectively</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396,450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385,938</w:t>
            </w: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Contract assets, net of allowances of $339 and $359, respectively</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196,873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185,803</w:t>
            </w:r>
          </w:p>
        </w:tc>
      </w:tr>
      <w:tr>
        <w:trPr>
          <w:trHeight w:val="190"/>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Current portion of receivable for insurance claims in excess of deductibles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11,859</w:t>
            </w: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Refundable income taxes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1,534</w:t>
            </w:r>
          </w:p>
        </w:tc>
      </w:tr>
      <w:tr>
        <w:trPr>
          <w:trHeight w:val="191"/>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Other current assets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12,516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28,882</w:t>
            </w:r>
          </w:p>
        </w:tc>
      </w:tr>
      <w:tr>
        <w:trPr>
          <w:trHeight w:val="26"/>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691,329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636,684</w:t>
            </w:r>
          </w:p>
        </w:tc>
      </w:tr>
      <w:tr>
        <w:trPr>
          <w:trHeight w:val="190"/>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Property and equipment, net of accumulated depreciation of $307,911 and $294,366, respectively</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185,018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185,114</w:t>
            </w: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22,413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22,291</w:t>
            </w:r>
          </w:p>
        </w:tc>
      </w:tr>
      <w:tr>
        <w:trPr>
          <w:trHeight w:val="191"/>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66,070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66,065</w:t>
            </w: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Intangible assets, net of accumulated amortization of $15,623 and $14,467, respectively</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50,223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51,365</w:t>
            </w:r>
          </w:p>
        </w:tc>
      </w:tr>
      <w:tr>
        <w:trPr>
          <w:trHeight w:val="190"/>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Receivable for insurance claims in excess of deductibles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27,274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27,043</w:t>
            </w: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Investment in joint ventures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3,040</w:t>
            </w:r>
          </w:p>
        </w:tc>
      </w:tr>
      <w:tr>
        <w:trPr>
          <w:trHeight w:val="190"/>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4,257</w:t>
            </w:r>
          </w:p>
        </w:tc>
      </w:tr>
      <w:tr>
        <w:trPr>
          <w:trHeight w:val="26"/>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5"/>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1,050,833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995,859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96"/>
        </w:trPr>
        <w:tc>
          <w:tcPr>
            <w:tcW w:w="8520" w:type="dxa"/>
            <w:vAlign w:val="bottom"/>
            <w:tcBorders>
              <w:bottom w:val="single" w:sz="8" w:color="CCEEFF"/>
            </w:tcBorders>
            <w:gridSpan w:val="2"/>
            <w:shd w:val="clear" w:color="auto" w:fill="CCEEFF"/>
          </w:tcPr>
          <w:p>
            <w:pPr>
              <w:ind w:left="264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1"/>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Current portion of long-term debt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4,381</w:t>
            </w:r>
          </w:p>
        </w:tc>
      </w:tr>
      <w:tr>
        <w:trPr>
          <w:trHeight w:val="190"/>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Current portion of operating lease obligations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6,612</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Current portion of finance lease obligations</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190"/>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211,975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162,580</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Contract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136,987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158,396</w:t>
            </w:r>
          </w:p>
        </w:tc>
      </w:tr>
      <w:tr>
        <w:trPr>
          <w:trHeight w:val="191"/>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Current portion of accrued self-insurance</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25,670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24,395</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86,506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86,718</w:t>
            </w:r>
          </w:p>
        </w:tc>
      </w:tr>
      <w:tr>
        <w:trPr>
          <w:trHeight w:val="184"/>
        </w:trPr>
        <w:tc>
          <w:tcPr>
            <w:tcW w:w="8520" w:type="dxa"/>
            <w:vAlign w:val="bottom"/>
            <w:gridSpan w:val="2"/>
          </w:tcPr>
          <w:p>
            <w:pPr>
              <w:ind w:left="22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469,879</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443,400</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Deferred income tax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18,831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18,339</w:t>
            </w:r>
          </w:p>
        </w:tc>
      </w:tr>
      <w:tr>
        <w:trPr>
          <w:trHeight w:val="191"/>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Long-term debt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25,039</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Accrued self-insurance</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46,030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45,428</w:t>
            </w:r>
          </w:p>
        </w:tc>
      </w:tr>
      <w:tr>
        <w:trPr>
          <w:trHeight w:val="190"/>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Operating lease obligations, net of current maturities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15,211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15,730</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22,018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18,631</w:t>
            </w:r>
          </w:p>
        </w:tc>
      </w:tr>
      <w:tr>
        <w:trPr>
          <w:trHeight w:val="184"/>
        </w:trPr>
        <w:tc>
          <w:tcPr>
            <w:tcW w:w="8520" w:type="dxa"/>
            <w:vAlign w:val="bottom"/>
            <w:gridSpan w:val="2"/>
          </w:tcPr>
          <w:p>
            <w:pPr>
              <w:ind w:left="220"/>
              <w:spacing w:after="0"/>
              <w:rPr>
                <w:sz w:val="20"/>
                <w:szCs w:val="20"/>
                <w:color w:val="auto"/>
              </w:rPr>
            </w:pPr>
            <w:r>
              <w:rPr>
                <w:rFonts w:ascii="Arial" w:cs="Arial" w:eastAsia="Arial" w:hAnsi="Arial"/>
                <w:sz w:val="14"/>
                <w:szCs w:val="14"/>
                <w:color w:val="auto"/>
              </w:rPr>
              <w:t>Total liabilities</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579,204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566,567</w:t>
            </w:r>
          </w:p>
        </w:tc>
      </w:tr>
      <w:tr>
        <w:trPr>
          <w:trHeight w:val="25"/>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0"/>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0"/>
        </w:trPr>
        <w:tc>
          <w:tcPr>
            <w:tcW w:w="8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96"/>
              </w:rPr>
              <w:t>Preferred stock—$0.01 par value per share; 4,000,000 authorized shares; none issued and outstanding at June 30, 2021 and December 31,</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8"/>
        </w:trPr>
        <w:tc>
          <w:tcPr>
            <w:tcW w:w="8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8520" w:type="dxa"/>
            <w:vAlign w:val="bottom"/>
            <w:gridSpan w:val="2"/>
          </w:tcPr>
          <w:p>
            <w:pPr>
              <w:ind w:left="140"/>
              <w:spacing w:after="0"/>
              <w:rPr>
                <w:sz w:val="20"/>
                <w:szCs w:val="20"/>
                <w:color w:val="auto"/>
              </w:rPr>
            </w:pPr>
            <w:r>
              <w:rPr>
                <w:rFonts w:ascii="Arial" w:cs="Arial" w:eastAsia="Arial" w:hAnsi="Arial"/>
                <w:sz w:val="14"/>
                <w:szCs w:val="14"/>
                <w:color w:val="auto"/>
                <w:w w:val="97"/>
              </w:rPr>
              <w:t>Common stock—$0.01 par value per share; 100,000,000 authorized shares; 16,867,470 and 16,734,239 shares issued and outstanding at</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2"/>
        </w:trPr>
        <w:tc>
          <w:tcPr>
            <w:tcW w:w="8520" w:type="dxa"/>
            <w:vAlign w:val="bottom"/>
            <w:gridSpan w:val="2"/>
          </w:tcPr>
          <w:p>
            <w:pPr>
              <w:ind w:left="300"/>
              <w:spacing w:after="0"/>
              <w:rPr>
                <w:sz w:val="20"/>
                <w:szCs w:val="20"/>
                <w:color w:val="auto"/>
              </w:rPr>
            </w:pPr>
            <w:r>
              <w:rPr>
                <w:rFonts w:ascii="Arial" w:cs="Arial" w:eastAsia="Arial" w:hAnsi="Arial"/>
                <w:sz w:val="14"/>
                <w:szCs w:val="14"/>
                <w:color w:val="auto"/>
              </w:rPr>
              <w:t>June 30, 2021 and December 31, 2020, respectively</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159,624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158,618</w:t>
            </w:r>
          </w:p>
        </w:tc>
      </w:tr>
      <w:tr>
        <w:trPr>
          <w:trHeight w:val="190"/>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Accumulated other comprehensive income</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311,144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270,480</w:t>
            </w:r>
          </w:p>
        </w:tc>
      </w:tr>
      <w:tr>
        <w:trPr>
          <w:trHeight w:val="184"/>
        </w:trPr>
        <w:tc>
          <w:tcPr>
            <w:tcW w:w="8520" w:type="dxa"/>
            <w:vAlign w:val="bottom"/>
            <w:gridSpan w:val="2"/>
          </w:tcPr>
          <w:p>
            <w:pPr>
              <w:ind w:left="220"/>
              <w:spacing w:after="0"/>
              <w:rPr>
                <w:sz w:val="20"/>
                <w:szCs w:val="20"/>
                <w:color w:val="auto"/>
              </w:rPr>
            </w:pPr>
            <w:r>
              <w:rPr>
                <w:rFonts w:ascii="Arial" w:cs="Arial" w:eastAsia="Arial" w:hAnsi="Arial"/>
                <w:sz w:val="14"/>
                <w:szCs w:val="14"/>
                <w:color w:val="auto"/>
              </w:rPr>
              <w:t>Total stockholders’ equity attributable to MYR Group Inc.</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471,625</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429,288</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4"/>
        </w:trPr>
        <w:tc>
          <w:tcPr>
            <w:tcW w:w="8520" w:type="dxa"/>
            <w:vAlign w:val="bottom"/>
            <w:gridSpan w:val="2"/>
          </w:tcPr>
          <w:p>
            <w:pPr>
              <w:ind w:left="22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471,629</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429,292</w:t>
            </w:r>
          </w:p>
        </w:tc>
      </w:tr>
      <w:tr>
        <w:trPr>
          <w:trHeight w:val="25"/>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4"/>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1,050,833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995,859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 AND COMPREHENSIVE INCOME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86"/>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87"/>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11"/>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5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513,051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1,242,059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1,031,521</w:t>
            </w:r>
          </w:p>
        </w:tc>
      </w:tr>
      <w:tr>
        <w:trPr>
          <w:trHeight w:val="270"/>
        </w:trPr>
        <w:tc>
          <w:tcPr>
            <w:tcW w:w="5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Contract costs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568,551</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451,746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1,084,084</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908,584</w:t>
            </w:r>
          </w:p>
        </w:tc>
      </w:tr>
      <w:tr>
        <w:trPr>
          <w:trHeight w:val="244"/>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122,937</w:t>
            </w:r>
          </w:p>
        </w:tc>
      </w:tr>
      <w:tr>
        <w:trPr>
          <w:trHeight w:val="243"/>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101,537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86,245</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r>
      <w:tr>
        <w:trPr>
          <w:trHeight w:val="243"/>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Gain on sale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(1,489)</w:t>
            </w: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35,750</w:t>
            </w:r>
          </w:p>
        </w:tc>
      </w:tr>
      <w:tr>
        <w:trPr>
          <w:trHeight w:val="243"/>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(2,828)</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37"/>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29,082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56,072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32,354</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9,037</w:t>
            </w:r>
          </w:p>
        </w:tc>
      </w:tr>
      <w:tr>
        <w:trPr>
          <w:trHeight w:val="237"/>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21,219</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13,385</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41,147</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23,317</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7"/>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per common share:</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43"/>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5740" w:type="dxa"/>
            <w:vAlign w:val="bottom"/>
            <w:gridSpan w:val="2"/>
          </w:tcPr>
          <w:p>
            <w:pPr>
              <w:ind w:left="20"/>
              <w:spacing w:after="0"/>
              <w:rPr>
                <w:sz w:val="20"/>
                <w:szCs w:val="20"/>
                <w:color w:val="auto"/>
              </w:rPr>
            </w:pPr>
            <w:r>
              <w:rPr>
                <w:rFonts w:ascii="Arial" w:cs="Arial" w:eastAsia="Arial" w:hAnsi="Arial"/>
                <w:sz w:val="18"/>
                <w:szCs w:val="18"/>
                <w:color w:val="auto"/>
                <w:w w:val="94"/>
              </w:rPr>
              <w:t>Weighted average number of common shares and potential common shares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outstanding:</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16,656</w:t>
            </w:r>
          </w:p>
        </w:tc>
      </w:tr>
      <w:tr>
        <w:trPr>
          <w:trHeight w:val="270"/>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17,125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17,093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16,751</w:t>
            </w:r>
          </w:p>
        </w:tc>
      </w:tr>
      <w:tr>
        <w:trPr>
          <w:trHeight w:val="257"/>
        </w:trPr>
        <w:tc>
          <w:tcPr>
            <w:tcW w:w="5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21,219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13,385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41,147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23,317</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63"/>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41,813</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23,365</w:t>
            </w: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MYR</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48"/>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Group Inc.</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4"/>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Preferred</w:t>
            </w:r>
          </w:p>
        </w:tc>
        <w:tc>
          <w:tcPr>
            <w:tcW w:w="1500" w:type="dxa"/>
            <w:vAlign w:val="bottom"/>
            <w:gridSpan w:val="5"/>
          </w:tcPr>
          <w:p>
            <w:pPr>
              <w:ind w:left="2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Comprehensive</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9"/>
        </w:trPr>
        <w:tc>
          <w:tcPr>
            <w:tcW w:w="2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67"/>
        </w:trPr>
        <w:tc>
          <w:tcPr>
            <w:tcW w:w="2680" w:type="dxa"/>
            <w:vAlign w:val="bottom"/>
            <w:gridSpan w:val="2"/>
          </w:tcPr>
          <w:p>
            <w:pPr>
              <w:ind w:left="90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Stock</w:t>
            </w: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4"/>
                <w:szCs w:val="14"/>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29"/>
        </w:trPr>
        <w:tc>
          <w:tcPr>
            <w:tcW w:w="2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6"/>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16,649</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152,532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212,219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364,471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364,475</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9,932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9,932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9,932</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Adjustment to adopt ASC 326</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(268)</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Stock issued under compensation plans, net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1,080</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Shares repurchased</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(426)</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Stock issued - other</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29"/>
        </w:trPr>
        <w:tc>
          <w:tcPr>
            <w:tcW w:w="2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6"/>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16,685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153,477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221,698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374,982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374,986</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13,385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13,385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13,385</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 issued under compensation plans, net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Stock-based compensation expense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1,093</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Stock issued - other</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29"/>
        </w:trPr>
        <w:tc>
          <w:tcPr>
            <w:tcW w:w="2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5"/>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154,594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235,083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389,446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389,450</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164"/>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16,734</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158,618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270,480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429,288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429,292</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19,928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19,928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19,928</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 issued under compensation plans, net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Stock-based compensation expense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1,487</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Shares repurchased</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(2,231)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(2,618)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(2,618)</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Other comprehensive income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253</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 issued - other</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7"/>
        </w:trPr>
        <w:tc>
          <w:tcPr>
            <w:tcW w:w="268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16,817</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157,995</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290,021</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448,460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7"/>
              </w:rPr>
              <w:t>448,464</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21,219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21,219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21,219</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Stock issued under compensation plans, net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319</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1,948</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Shares repurchased</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(734)</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413</w:t>
            </w:r>
          </w:p>
        </w:tc>
      </w:tr>
      <w:tr>
        <w:trPr>
          <w:trHeight w:val="195"/>
        </w:trPr>
        <w:tc>
          <w:tcPr>
            <w:tcW w:w="268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at June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16,867</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159,624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311,144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471,625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7"/>
              </w:rPr>
              <w:t>471,629</w:t>
            </w:r>
          </w:p>
        </w:tc>
      </w:tr>
      <w:tr>
        <w:trPr>
          <w:trHeight w:val="22"/>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31"/>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6"/>
        </w:trPr>
        <w:tc>
          <w:tcPr>
            <w:tcW w:w="8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41,147</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23,317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22,172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21,324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non-cash items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46,353</w:t>
            </w:r>
          </w:p>
        </w:tc>
        <w:tc>
          <w:tcPr>
            <w:tcW w:w="0" w:type="dxa"/>
            <w:vAlign w:val="bottom"/>
          </w:tcPr>
          <w:p>
            <w:pPr>
              <w:spacing w:after="0"/>
              <w:rPr>
                <w:sz w:val="1"/>
                <w:szCs w:val="1"/>
                <w:color w:val="auto"/>
              </w:rPr>
            </w:pPr>
          </w:p>
        </w:tc>
      </w:tr>
      <w:tr>
        <w:trPr>
          <w:trHeight w:val="243"/>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Contract assets,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(10,855)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(7,658)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Receivable for insurance claims in excess of deductibles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243"/>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10,389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47,772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(38,342)</w:t>
            </w:r>
          </w:p>
        </w:tc>
        <w:tc>
          <w:tcPr>
            <w:tcW w:w="0" w:type="dxa"/>
            <w:vAlign w:val="bottom"/>
          </w:tcPr>
          <w:p>
            <w:pPr>
              <w:spacing w:after="0"/>
              <w:rPr>
                <w:sz w:val="1"/>
                <w:szCs w:val="1"/>
                <w:color w:val="auto"/>
              </w:rPr>
            </w:pPr>
          </w:p>
        </w:tc>
      </w:tr>
      <w:tr>
        <w:trPr>
          <w:trHeight w:val="243"/>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Contract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(21,433)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23,271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Accrued self insurance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0" w:type="dxa"/>
            <w:vAlign w:val="bottom"/>
          </w:tcPr>
          <w:p>
            <w:pPr>
              <w:spacing w:after="0"/>
              <w:rPr>
                <w:sz w:val="1"/>
                <w:szCs w:val="1"/>
                <w:color w:val="auto"/>
              </w:rPr>
            </w:pPr>
          </w:p>
        </w:tc>
      </w:tr>
      <w:tr>
        <w:trPr>
          <w:trHeight w:val="243"/>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19,450</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Net cash flows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88,562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97,923</w:t>
            </w:r>
          </w:p>
        </w:tc>
        <w:tc>
          <w:tcPr>
            <w:tcW w:w="0" w:type="dxa"/>
            <w:vAlign w:val="bottom"/>
          </w:tcPr>
          <w:p>
            <w:pPr>
              <w:spacing w:after="0"/>
              <w:rPr>
                <w:sz w:val="1"/>
                <w:szCs w:val="1"/>
                <w:color w:val="auto"/>
              </w:rPr>
            </w:pPr>
          </w:p>
        </w:tc>
      </w:tr>
      <w:tr>
        <w:trPr>
          <w:trHeight w:val="223"/>
        </w:trPr>
        <w:tc>
          <w:tcPr>
            <w:tcW w:w="8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(20,997)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(16,938)</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cash flows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(15,305)</w:t>
            </w:r>
          </w:p>
        </w:tc>
        <w:tc>
          <w:tcPr>
            <w:tcW w:w="0" w:type="dxa"/>
            <w:vAlign w:val="bottom"/>
          </w:tcPr>
          <w:p>
            <w:pPr>
              <w:spacing w:after="0"/>
              <w:rPr>
                <w:sz w:val="1"/>
                <w:szCs w:val="1"/>
                <w:color w:val="auto"/>
              </w:rPr>
            </w:pPr>
          </w:p>
        </w:tc>
      </w:tr>
      <w:tr>
        <w:trPr>
          <w:trHeight w:val="223"/>
        </w:trPr>
        <w:tc>
          <w:tcPr>
            <w:tcW w:w="8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repayments under revolving lines of credit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(70,423)</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Payment of principal obligations under equipment notes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(20,635)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(13,433)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Payment of principal obligations under finance leases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Repurchase of common shares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Other financing activities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cash flows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(23,922)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(84,766)</w:t>
            </w:r>
          </w:p>
        </w:tc>
        <w:tc>
          <w:tcPr>
            <w:tcW w:w="0" w:type="dxa"/>
            <w:vAlign w:val="bottom"/>
          </w:tcPr>
          <w:p>
            <w:pPr>
              <w:spacing w:after="0"/>
              <w:rPr>
                <w:sz w:val="1"/>
                <w:szCs w:val="1"/>
                <w:color w:val="auto"/>
              </w:rPr>
            </w:pPr>
          </w:p>
        </w:tc>
      </w:tr>
      <w:tr>
        <w:trPr>
          <w:trHeight w:val="237"/>
        </w:trPr>
        <w:tc>
          <w:tcPr>
            <w:tcW w:w="8520" w:type="dxa"/>
            <w:vAlign w:val="bottom"/>
            <w:gridSpan w:val="2"/>
          </w:tcPr>
          <w:p>
            <w:pPr>
              <w:ind w:left="48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45,654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12,397</w:t>
            </w:r>
          </w:p>
        </w:tc>
        <w:tc>
          <w:tcPr>
            <w:tcW w:w="0" w:type="dxa"/>
            <w:vAlign w:val="bottom"/>
          </w:tcPr>
          <w:p>
            <w:pPr>
              <w:spacing w:after="0"/>
              <w:rPr>
                <w:sz w:val="1"/>
                <w:szCs w:val="1"/>
                <w:color w:val="auto"/>
              </w:rPr>
            </w:pPr>
          </w:p>
        </w:tc>
      </w:tr>
      <w:tr>
        <w:trPr>
          <w:trHeight w:val="264"/>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68,322</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ind w:right="730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ind w:right="20" w:firstLine="648"/>
        <w:spacing w:after="0" w:line="291" w:lineRule="auto"/>
        <w:rPr>
          <w:sz w:val="20"/>
          <w:szCs w:val="20"/>
          <w:color w:val="auto"/>
        </w:rPr>
      </w:pPr>
      <w:r>
        <w:rPr>
          <w:rFonts w:ascii="Arial" w:cs="Arial" w:eastAsia="Arial" w:hAnsi="Arial"/>
          <w:sz w:val="16"/>
          <w:szCs w:val="16"/>
          <w:color w:val="auto"/>
        </w:rPr>
        <w:t>MYR Group Inc. (the “Company”) is a holding company of specialty electrical construction service providers and is currently conducting operations through wholly owned subsidiaries, including: The L. E. Myers Co., a Delaware corporation; Harlan Electric Company, a Michigan corporation; Great Southwestern Construction, Inc., a Colorado corporation; Sturgeon Electric Company, Inc., a Michigan corporation; MYR Energy Services, Inc., a Delaware corporation; E.S. Boulos Company, a Delaware corporation; High Country Line Construction, Inc., a Nevada corporation; Sturgeon Electric California, LLC, a Delaware limited liability company; GSW Integrated Services, LLC, a Delaware limited liability company; Huen Electric, Inc., a Delaware corporation; CSI Electrical Contractors, Inc., a Delaware corporation; MYR Transmission Services Canada, Ltd., a British Columbia corporation; Northern Transmission Services, Ltd., a British Columbia corporation and Western Pacific Enterprises Ltd., a British Columbia corporation.</w:t>
      </w:r>
    </w:p>
    <w:p>
      <w:pPr>
        <w:spacing w:after="0" w:line="166"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which include design, engineering, procurement, construction, upgrade, maintenance and repair services, with a particular focus on construction, maintenance and repair. C&amp;I customers include general contractors, commercial and industrial facility owners, government agencies and developers. C&amp;I provides a broad range of services, which include the design, installation, maintenance and repair of commercial and industrial wiring, the installation of traffic networks and the installation of bridge, roadway and tunnel lighting.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Consolidated Financial Information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stockholders’ equity and cash flows with respect to the interim consolidated financial statements, have been included. The consolidated balance sheet as of December 31, 2020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2020, included in the Company’s Annual Report on Form 10-K, which was filed with the SEC on March 3, 2021 (the "2020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 and Noncontrolling Interests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Under the proportionate consolidation method, joint venture activity is allocated to the appropriate line items found on the consolidated statements of operations in proportion to the percentage of participation the Company has in the joint venture. Under the equity method the net investment in joint ventures is stated as a single item on the Company’s consolidated balance sheets. If an investment in a joint venture contains a recourse or unfunded commitments to provide additional equity, distributions and/or losses in excess of the investment, a liability is recorded in other current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For joint ventures in which the Company does not have a controlling interest, the Company’s share of any profits and assets and its share of any losses and liabilities are recognized based on the Company’s stated percentage partnership interest in the joint venture, and are normally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w:t>
      </w:r>
    </w:p>
    <w:p>
      <w:pPr>
        <w:spacing w:after="0" w:line="17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Company is the majority controlling interest in a joint venture. As a result, the Company has consolidated the carrying value of the joint ventures’ assets and liabilities and results of operations in the Company’s consolidated financial statements. The equity owned by the other joint venture partners has been recorded as noncontrolling interest in the Company’s consolidated balance sheets, consolidated statements of stockholders’ equity, and their portions, if material, of net income (loss) and other comprehensive income shown as net income or other comprehensive income attributable to noncontrolling interest in the Company’s consolidated statements of operations and other comprehensive income. Additionally, the joint venture associated with the Company’s noncontrolling interest is a partnership, and consequently, the tax effect of only the Company’s share of the joint venture income is recognized by the Company. The majority controlled joint venture made no distributions to its partners, and the Company made no capital contributions to the joint venture, during the three and six months ended June 30, 2021. Additionally, there have been no changes in ownership during the three and six months ended June 30, 2021. The project associated with this joint venture was substantially completed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ineffective long-term monetary assets and liabilities are recorded in the “other income, net” line on the Company’s consolidated statements of operations. Foreign currency losses, recorded in other income, net, for the six months ended June 30, 2021 were $0.1 million. Foreign currency gains, recorded in other income, net, for the six months ended June 30, 2020 were not significant. Effective foreign currency transaction gains and losses, arising primarily from long-term monetary assets and liabilities, are recorded in the foreign currency translation adjustment line on the Company’s consolidated statements of comprehensive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most significant estimates are related to estimates of costs to complete contracts, pending change orders and claims, shared savings, insurance reserves, income tax reserves, estimates surrounding stock-based compensation,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June 30, 2021 and 2020, the Company had recognized revenues of $6.0 million and $40.1 million, respectively, related to significant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The cost-to-cost method of accounting requires the Company to make estimates about the expected revenue and gross profit on each of its contracts in process. During the three months ended June 30, 2021, changes in estimates pertaining to certain projects increased consolidated gross margin by 0.8%, which resulted in increases in operating income of $5.1 million, net income of $3.6 million and diluted earnings per common share of $0.21. During the six months ended June 30, 2021, changes in estimates pertaining to certain projects increased consolidated gross margin by 0.3%, which resulted in increases in operating income of $3.9 million, net income of $2.7 million and diluted earnings per common share of $0.16.</w:t>
      </w:r>
    </w:p>
    <w:p>
      <w:pPr>
        <w:spacing w:after="0" w:line="16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During the three months ended June 30, 2020, changes in estimates pertaining to certain projects increased consolidated gross margin by 0.2%, which resulted in increases in operating income of $1.2 million, net income of $0.9 million and diluted earnings per common share of $0.05. During the six months ended June 30, 2020, changes in estimates pertaining to certain projects decreased consolidated gross margin by 0.1%, which resulted in decreases in operating income of $0.7 million, net income of $0.5 million and diluted earnings per common share of $0.03.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adoption will have minimal impact on its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which simplifies the accounting for income taxes, eliminates certain exceptions within ASC 740, Income Taxes, and clarifies certain aspects of the current guidance to promote consistent application among reporting entities. The Company adopted this ASU in January 2021 and there was no effect on the consolidated financial statements or disclosures.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Contract Assets and Liabilities</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spacing w:after="0" w:line="18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$0.3 million as of June 30, 2021 and $0.4 million as of December 31,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assets consisted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7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7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Unbilled revenue,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Contract retainages, net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Company’s consolidated balance sheets present contract liabilities which contain deferred revenue and an accrual for contracts in a loss provision.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liabilities consisted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3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(21,376)</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Accrued loss provision</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920" w:type="dxa"/>
            <w:vAlign w:val="bottom"/>
            <w:gridSpan w:val="8"/>
          </w:tcPr>
          <w:p>
            <w:pPr>
              <w:ind w:left="660"/>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2"/>
                <w:szCs w:val="22"/>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2"/>
                <w:szCs w:val="22"/>
                <w:color w:val="auto"/>
              </w:rPr>
            </w:pPr>
          </w:p>
        </w:tc>
        <w:tc>
          <w:tcPr>
            <w:tcW w:w="10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7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7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Contract liabilities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(136,987)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(158,396)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21,409</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contract assets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$22.3 million and $73.9 million for the three and six months ended June 30, 2021, respectively. The amounts of revenue recognized in the period that were included in the opening contract liability balances were $16.9 million and $43.0 million for the three and six months ended June 30, 2020, respectively. This revenue consists primarily of work performed on previous billings to customers.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asset position for contracts in process consisted of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1"/>
        </w:trPr>
        <w:tc>
          <w:tcPr>
            <w:tcW w:w="84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and estimated earnings on uncompleted contracts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3,756,350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3,921,376</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billings to date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4"/>
              </w:rPr>
              <w:t>3,784,817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7"/>
              </w:rPr>
              <w:t>3,979,403</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2"/>
              </w:rPr>
              <w:t>(28,467)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2"/>
              </w:rPr>
              <w:t>(58,027)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net asset position for contracts in process is included within the contract asset and contract liability in the accompanying consolidated balance sheets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00" w:type="dxa"/>
            <w:vAlign w:val="bottom"/>
          </w:tcPr>
          <w:p>
            <w:pPr>
              <w:jc w:val="right"/>
              <w:ind w:right="197"/>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8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120" w:type="dxa"/>
            <w:vAlign w:val="bottom"/>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Arial" w:cs="Arial" w:eastAsia="Arial" w:hAnsi="Arial"/>
                <w:sz w:val="14"/>
                <w:szCs w:val="14"/>
                <w:b w:val="1"/>
                <w:bCs w:val="1"/>
                <w:color w:val="auto"/>
              </w:rPr>
              <w:t>2020</w:t>
            </w:r>
          </w:p>
        </w:tc>
      </w:tr>
      <w:tr>
        <w:trPr>
          <w:trHeight w:val="25"/>
        </w:trPr>
        <w:tc>
          <w:tcPr>
            <w:tcW w:w="8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Unbilled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97,543</w:t>
            </w:r>
          </w:p>
        </w:tc>
      </w:tr>
      <w:tr>
        <w:trPr>
          <w:trHeight w:val="24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(134,194)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(155,570)</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(28,467)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(58,027)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 Obligations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From time-to-time,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five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June 30, 2021,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lease-related assets and liabilities recorded: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ind w:left="2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6"/>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5200" w:type="dxa"/>
            <w:vAlign w:val="bottom"/>
            <w:gridSpan w:val="3"/>
          </w:tcPr>
          <w:p>
            <w:pPr>
              <w:ind w:left="20"/>
              <w:spacing w:after="0"/>
              <w:rPr>
                <w:sz w:val="20"/>
                <w:szCs w:val="20"/>
                <w:color w:val="auto"/>
              </w:rPr>
            </w:pPr>
            <w:r>
              <w:rPr>
                <w:rFonts w:ascii="Arial" w:cs="Arial" w:eastAsia="Arial" w:hAnsi="Arial"/>
                <w:sz w:val="14"/>
                <w:szCs w:val="14"/>
                <w:b w:val="1"/>
                <w:bCs w:val="1"/>
                <w:color w:val="auto"/>
              </w:rPr>
              <w:t>Classification on the Consolidated Balance Sheet</w:t>
            </w:r>
          </w:p>
        </w:tc>
        <w:tc>
          <w:tcPr>
            <w:tcW w:w="160" w:type="dxa"/>
            <w:vAlign w:val="bottom"/>
          </w:tcPr>
          <w:p>
            <w:pPr>
              <w:spacing w:after="0"/>
              <w:rPr>
                <w:sz w:val="16"/>
                <w:szCs w:val="16"/>
                <w:color w:val="auto"/>
              </w:rPr>
            </w:pPr>
          </w:p>
        </w:tc>
        <w:tc>
          <w:tcPr>
            <w:tcW w:w="102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Finance lease right-of-use assets</w:t>
            </w:r>
          </w:p>
        </w:tc>
        <w:tc>
          <w:tcPr>
            <w:tcW w:w="5200" w:type="dxa"/>
            <w:vAlign w:val="bottom"/>
            <w:gridSpan w:val="3"/>
          </w:tcPr>
          <w:p>
            <w:pPr>
              <w:ind w:left="20"/>
              <w:spacing w:after="0"/>
              <w:rPr>
                <w:sz w:val="20"/>
                <w:szCs w:val="20"/>
                <w:color w:val="auto"/>
              </w:rPr>
            </w:pPr>
            <w:r>
              <w:rPr>
                <w:rFonts w:ascii="Arial" w:cs="Arial" w:eastAsia="Arial" w:hAnsi="Arial"/>
                <w:sz w:val="18"/>
                <w:szCs w:val="18"/>
                <w:color w:val="auto"/>
              </w:rPr>
              <w:t>Property and equipment, net of accumulated depreciation</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right-of-use lease assets</w:t>
            </w:r>
          </w:p>
        </w:tc>
        <w:tc>
          <w:tcPr>
            <w:tcW w:w="49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22,422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obligations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Finance lease obligations</w:t>
            </w:r>
          </w:p>
        </w:tc>
        <w:tc>
          <w:tcPr>
            <w:tcW w:w="5200" w:type="dxa"/>
            <w:vAlign w:val="bottom"/>
            <w:gridSpan w:val="3"/>
          </w:tcPr>
          <w:p>
            <w:pPr>
              <w:ind w:left="20"/>
              <w:spacing w:after="0"/>
              <w:rPr>
                <w:sz w:val="20"/>
                <w:szCs w:val="20"/>
                <w:color w:val="auto"/>
              </w:rPr>
            </w:pPr>
            <w:r>
              <w:rPr>
                <w:rFonts w:ascii="Arial" w:cs="Arial" w:eastAsia="Arial" w:hAnsi="Arial"/>
                <w:sz w:val="18"/>
                <w:szCs w:val="18"/>
                <w:color w:val="auto"/>
              </w:rPr>
              <w:t>Current portion of finance lease obligations</w:t>
            </w:r>
          </w:p>
        </w:tc>
        <w:tc>
          <w:tcPr>
            <w:tcW w:w="160" w:type="dxa"/>
            <w:vAlign w:val="bottom"/>
          </w:tcPr>
          <w:p>
            <w:pPr>
              <w:spacing w:after="0"/>
              <w:rPr>
                <w:sz w:val="21"/>
                <w:szCs w:val="21"/>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current obligations</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Non-current</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obligations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obligations, net of current maturities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Total non-current obligations</w:t>
            </w: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15,211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lease obligations</w:t>
            </w:r>
          </w:p>
        </w:tc>
        <w:tc>
          <w:tcPr>
            <w:tcW w:w="49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22,402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gridSpan w:val="5"/>
            <w:vMerge w:val="restart"/>
          </w:tcPr>
          <w:p>
            <w:pPr>
              <w:ind w:left="660"/>
              <w:spacing w:after="0"/>
              <w:rPr>
                <w:sz w:val="20"/>
                <w:szCs w:val="20"/>
                <w:color w:val="auto"/>
              </w:rPr>
            </w:pPr>
            <w:r>
              <w:rPr>
                <w:rFonts w:ascii="Arial" w:cs="Arial" w:eastAsia="Arial" w:hAnsi="Arial"/>
                <w:sz w:val="18"/>
                <w:szCs w:val="18"/>
                <w:color w:val="auto"/>
              </w:rPr>
              <w:t>The following is a summary of the lease terms and discount rates: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5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80" w:type="dxa"/>
            <w:vAlign w:val="bottom"/>
            <w:tcBorders>
              <w:bottom w:val="single" w:sz="8" w:color="CCEEFF"/>
            </w:tcBorders>
            <w:gridSpan w:val="3"/>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0.1 years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 years</w:t>
            </w:r>
          </w:p>
        </w:tc>
        <w:tc>
          <w:tcPr>
            <w:tcW w:w="0" w:type="dxa"/>
            <w:vAlign w:val="bottom"/>
          </w:tcPr>
          <w:p>
            <w:pPr>
              <w:spacing w:after="0"/>
              <w:rPr>
                <w:sz w:val="1"/>
                <w:szCs w:val="1"/>
                <w:color w:val="auto"/>
              </w:rPr>
            </w:pPr>
          </w:p>
        </w:tc>
      </w:tr>
      <w:tr>
        <w:trPr>
          <w:trHeight w:val="243"/>
        </w:trPr>
        <w:tc>
          <w:tcPr>
            <w:tcW w:w="8520" w:type="dxa"/>
            <w:vAlign w:val="bottom"/>
            <w:gridSpan w:val="5"/>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16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3.2 years</w:t>
            </w:r>
          </w:p>
        </w:tc>
        <w:tc>
          <w:tcPr>
            <w:tcW w:w="1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 years</w:t>
            </w:r>
          </w:p>
        </w:tc>
        <w:tc>
          <w:tcPr>
            <w:tcW w:w="0" w:type="dxa"/>
            <w:vAlign w:val="bottom"/>
          </w:tcPr>
          <w:p>
            <w:pPr>
              <w:spacing w:after="0"/>
              <w:rPr>
                <w:sz w:val="1"/>
                <w:szCs w:val="1"/>
                <w:color w:val="auto"/>
              </w:rPr>
            </w:pPr>
          </w:p>
        </w:tc>
      </w:tr>
      <w:tr>
        <w:trPr>
          <w:trHeight w:val="27"/>
        </w:trPr>
        <w:tc>
          <w:tcPr>
            <w:tcW w:w="8280" w:type="dxa"/>
            <w:vAlign w:val="bottom"/>
            <w:gridSpan w:val="3"/>
          </w:tcPr>
          <w:p>
            <w:pPr>
              <w:spacing w:after="0"/>
              <w:rPr>
                <w:sz w:val="2"/>
                <w:szCs w:val="2"/>
                <w:color w:val="auto"/>
              </w:rPr>
            </w:pPr>
          </w:p>
        </w:tc>
        <w:tc>
          <w:tcPr>
            <w:tcW w:w="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8520" w:type="dxa"/>
            <w:vAlign w:val="bottom"/>
            <w:gridSpan w:val="5"/>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certain information related to the lease costs for finance and operating leases: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89"/>
              </w:rPr>
              <w:t>Six months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78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6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1"/>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Lease cost:</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gridSpan w:val="2"/>
          </w:tcPr>
          <w:p>
            <w:pPr>
              <w:ind w:left="140"/>
              <w:spacing w:after="0"/>
              <w:rPr>
                <w:sz w:val="20"/>
                <w:szCs w:val="20"/>
                <w:color w:val="auto"/>
              </w:rPr>
            </w:pPr>
            <w:r>
              <w:rPr>
                <w:rFonts w:ascii="Arial" w:cs="Arial" w:eastAsia="Arial" w:hAnsi="Arial"/>
                <w:sz w:val="18"/>
                <w:szCs w:val="18"/>
                <w:color w:val="auto"/>
              </w:rPr>
              <w:t>Finance lease cost:</w:t>
            </w: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Interest on lease liabilities</w:t>
            </w: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cost</w:t>
            </w: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2,469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Variable lease costs</w:t>
            </w: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lease cost</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2,734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10440" w:type="dxa"/>
            <w:vAlign w:val="bottom"/>
            <w:gridSpan w:val="13"/>
          </w:tcPr>
          <w:p>
            <w:pPr>
              <w:ind w:left="660"/>
              <w:spacing w:after="0"/>
              <w:rPr>
                <w:sz w:val="20"/>
                <w:szCs w:val="20"/>
                <w:color w:val="auto"/>
              </w:rPr>
            </w:pPr>
            <w:r>
              <w:rPr>
                <w:rFonts w:ascii="Arial" w:cs="Arial" w:eastAsia="Arial" w:hAnsi="Arial"/>
                <w:sz w:val="18"/>
                <w:szCs w:val="18"/>
                <w:color w:val="auto"/>
                <w:w w:val="95"/>
              </w:rPr>
              <w:t>The following is a summary of other information and supplemental cash flow information related to finance and operating leases: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41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6"/>
        </w:trPr>
        <w:tc>
          <w:tcPr>
            <w:tcW w:w="57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gridSpan w:val="2"/>
          </w:tcPr>
          <w:p>
            <w:pPr>
              <w:ind w:left="1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243"/>
        </w:trPr>
        <w:tc>
          <w:tcPr>
            <w:tcW w:w="5780" w:type="dxa"/>
            <w:vAlign w:val="bottom"/>
            <w:gridSpan w:val="2"/>
          </w:tcPr>
          <w:p>
            <w:pPr>
              <w:ind w:left="140"/>
              <w:spacing w:after="0"/>
              <w:rPr>
                <w:sz w:val="20"/>
                <w:szCs w:val="20"/>
                <w:color w:val="auto"/>
              </w:rPr>
            </w:pPr>
            <w:r>
              <w:rPr>
                <w:rFonts w:ascii="Arial" w:cs="Arial" w:eastAsia="Arial" w:hAnsi="Arial"/>
                <w:sz w:val="18"/>
                <w:szCs w:val="18"/>
                <w:color w:val="auto"/>
                <w:w w:val="92"/>
              </w:rPr>
              <w:t>Right-of-use asset obtained in exchange for new operating lease obligations</w:t>
            </w: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4,387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future undiscounted minimum lease payments, as reconciled to the discounted minimum lease obligation indicated on the Company’s consolidated balance sheets under operating leases, less imputed interest, as of June 30, 2021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Operating Lease</w:t>
            </w:r>
          </w:p>
        </w:tc>
      </w:tr>
      <w:tr>
        <w:trPr>
          <w:trHeight w:val="186"/>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360" w:type="dxa"/>
            <w:vAlign w:val="bottom"/>
          </w:tcPr>
          <w:p>
            <w:pPr>
              <w:jc w:val="right"/>
              <w:ind w:right="333"/>
              <w:spacing w:after="0"/>
              <w:rPr>
                <w:sz w:val="20"/>
                <w:szCs w:val="20"/>
                <w:color w:val="auto"/>
              </w:rPr>
            </w:pPr>
            <w:r>
              <w:rPr>
                <w:rFonts w:ascii="Arial" w:cs="Arial" w:eastAsia="Arial" w:hAnsi="Arial"/>
                <w:sz w:val="14"/>
                <w:szCs w:val="14"/>
                <w:b w:val="1"/>
                <w:bCs w:val="1"/>
                <w:color w:val="auto"/>
              </w:rPr>
              <w:t>Obligations</w:t>
            </w:r>
          </w:p>
        </w:tc>
      </w:tr>
      <w:tr>
        <w:trPr>
          <w:trHeight w:val="25"/>
        </w:trPr>
        <w:tc>
          <w:tcPr>
            <w:tcW w:w="9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9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5,052</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8,819</w:t>
            </w:r>
          </w:p>
        </w:tc>
      </w:tr>
      <w:tr>
        <w:trPr>
          <w:trHeight w:val="27"/>
        </w:trPr>
        <w:tc>
          <w:tcPr>
            <w:tcW w:w="9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6,482</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3,601</w:t>
            </w:r>
          </w:p>
        </w:tc>
      </w:tr>
      <w:tr>
        <w:trPr>
          <w:trHeight w:val="27"/>
        </w:trPr>
        <w:tc>
          <w:tcPr>
            <w:tcW w:w="9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7"/>
        </w:trPr>
        <w:tc>
          <w:tcPr>
            <w:tcW w:w="9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9680" w:type="dxa"/>
            <w:vAlign w:val="bottom"/>
          </w:tcPr>
          <w:p>
            <w:pPr>
              <w:ind w:left="20"/>
              <w:spacing w:after="0"/>
              <w:rPr>
                <w:sz w:val="20"/>
                <w:szCs w:val="20"/>
                <w:color w:val="auto"/>
              </w:rPr>
            </w:pPr>
            <w:r>
              <w:rPr>
                <w:rFonts w:ascii="Arial" w:cs="Arial" w:eastAsia="Arial" w:hAnsi="Arial"/>
                <w:sz w:val="18"/>
                <w:szCs w:val="18"/>
                <w:color w:val="auto"/>
              </w:rPr>
              <w:t>Total minimum lease payments</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26,550</w:t>
            </w:r>
          </w:p>
        </w:tc>
      </w:tr>
      <w:tr>
        <w:trPr>
          <w:trHeight w:val="27"/>
        </w:trPr>
        <w:tc>
          <w:tcPr>
            <w:tcW w:w="9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component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(4,148)</w:t>
            </w:r>
          </w:p>
        </w:tc>
      </w:tr>
      <w:tr>
        <w:trPr>
          <w:trHeight w:val="237"/>
        </w:trPr>
        <w:tc>
          <w:tcPr>
            <w:tcW w:w="9680" w:type="dxa"/>
            <w:vAlign w:val="bottom"/>
          </w:tcPr>
          <w:p>
            <w:pPr>
              <w:ind w:left="20"/>
              <w:spacing w:after="0"/>
              <w:rPr>
                <w:sz w:val="20"/>
                <w:szCs w:val="20"/>
                <w:color w:val="auto"/>
              </w:rPr>
            </w:pPr>
            <w:r>
              <w:rPr>
                <w:rFonts w:ascii="Arial" w:cs="Arial" w:eastAsia="Arial" w:hAnsi="Arial"/>
                <w:sz w:val="18"/>
                <w:szCs w:val="18"/>
                <w:color w:val="auto"/>
              </w:rPr>
              <w:t>Net present value of minimum lease payments</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22,402</w:t>
            </w:r>
          </w:p>
        </w:tc>
      </w:tr>
      <w:tr>
        <w:trPr>
          <w:trHeight w:val="27"/>
        </w:trPr>
        <w:tc>
          <w:tcPr>
            <w:tcW w:w="9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 of finance and operating lease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(7,191)</w:t>
            </w:r>
          </w:p>
        </w:tc>
      </w:tr>
      <w:tr>
        <w:trPr>
          <w:trHeight w:val="263"/>
        </w:trPr>
        <w:tc>
          <w:tcPr>
            <w:tcW w:w="9680" w:type="dxa"/>
            <w:vAlign w:val="bottom"/>
          </w:tcPr>
          <w:p>
            <w:pPr>
              <w:ind w:left="20"/>
              <w:spacing w:after="0"/>
              <w:rPr>
                <w:sz w:val="20"/>
                <w:szCs w:val="20"/>
                <w:color w:val="auto"/>
              </w:rPr>
            </w:pPr>
            <w:r>
              <w:rPr>
                <w:rFonts w:ascii="Arial" w:cs="Arial" w:eastAsia="Arial" w:hAnsi="Arial"/>
                <w:sz w:val="18"/>
                <w:szCs w:val="18"/>
                <w:color w:val="auto"/>
              </w:rPr>
              <w:t>Long-term finance and operating lease obligations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15,211</w:t>
            </w:r>
          </w:p>
        </w:tc>
      </w:tr>
      <w:tr>
        <w:trPr>
          <w:trHeight w:val="20"/>
        </w:trPr>
        <w:tc>
          <w:tcPr>
            <w:tcW w:w="9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financing component for operating lease obligations represents the effect of discounting the lease payments to their present value. As of June 30, 2021, the Company had no outstanding finance lease obligations.</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Certain subsidiaries of the Company have operating leases for facilities from third party companies that are owned, in whole or part, by employees of the subsidiaries. The terms and rental rates of these leases are at market rental rates. As of June 30, 2021, the minimum lease payments required under these leases totaled $2.7 million, which are due over the next 3.0 years.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57"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As of June 30, 2021 and December 31, 2020, the Company determined that the carrying value of cash and cash equivalents approximated fair value based on Level 1 inputs. As of June 30, 2021 and December 31, 2020, the fair values of the Company’s long-term debt and finance lease obligations were based on Level 2 inputs. The Company’s long-term debt was based on variable and fixed interest rates at June 30, 2021 and December 31, 2020, for new issues with similar remaining maturities, and approximated carrying value. In addition, based on borrowing rates currently available to the Company for borrowings with similar terms, the carrying values of the Company’s finance lease obligations also approximated fair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reflects the Company’s total debt, including borrowings under its credit agreement and master loan agreements for equipment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Stated Interest</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Payment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144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35"/>
        </w:trPr>
        <w:tc>
          <w:tcPr>
            <w:tcW w:w="2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Inception Date</w:t>
            </w:r>
          </w:p>
        </w:tc>
        <w:tc>
          <w:tcPr>
            <w:tcW w:w="154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Balance as of</w:t>
            </w:r>
          </w:p>
        </w:tc>
        <w:tc>
          <w:tcPr>
            <w:tcW w:w="160" w:type="dxa"/>
            <w:vAlign w:val="bottom"/>
          </w:tcPr>
          <w:p>
            <w:pPr>
              <w:spacing w:after="0"/>
              <w:rPr>
                <w:sz w:val="11"/>
                <w:szCs w:val="11"/>
                <w:color w:val="auto"/>
              </w:rPr>
            </w:pPr>
          </w:p>
        </w:tc>
        <w:tc>
          <w:tcPr>
            <w:tcW w:w="144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88"/>
        </w:trPr>
        <w:tc>
          <w:tcPr>
            <w:tcW w:w="272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Rate (per annum)</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2021</w:t>
            </w:r>
          </w:p>
        </w:tc>
        <w:tc>
          <w:tcPr>
            <w:tcW w:w="160" w:type="dxa"/>
            <w:vAlign w:val="bottom"/>
          </w:tcPr>
          <w:p>
            <w:pPr>
              <w:spacing w:after="0"/>
              <w:rPr>
                <w:sz w:val="16"/>
                <w:szCs w:val="16"/>
                <w:color w:val="auto"/>
              </w:rPr>
            </w:pPr>
          </w:p>
        </w:tc>
        <w:tc>
          <w:tcPr>
            <w:tcW w:w="144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51"/>
        </w:trPr>
        <w:tc>
          <w:tcPr>
            <w:tcW w:w="2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Credit Agreement</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Revolving loans</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9/13/2019</w:t>
            </w:r>
          </w:p>
        </w:tc>
        <w:tc>
          <w:tcPr>
            <w:tcW w:w="120" w:type="dxa"/>
            <w:vAlign w:val="bottom"/>
          </w:tcPr>
          <w:p>
            <w:pPr>
              <w:spacing w:after="0"/>
              <w:rPr>
                <w:sz w:val="19"/>
                <w:szCs w:val="19"/>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Variable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Variable</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20"/>
              <w:spacing w:after="0"/>
              <w:rPr>
                <w:sz w:val="20"/>
                <w:szCs w:val="20"/>
                <w:color w:val="auto"/>
              </w:rPr>
            </w:pPr>
            <w:r>
              <w:rPr>
                <w:rFonts w:ascii="Arial" w:cs="Arial" w:eastAsia="Arial" w:hAnsi="Arial"/>
                <w:sz w:val="18"/>
                <w:szCs w:val="18"/>
                <w:i w:val="1"/>
                <w:iCs w:val="1"/>
                <w:color w:val="auto"/>
              </w:rPr>
              <w:t>Equipment Notes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Note 6</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6/25/2019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2.89%</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Semi-annual</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29"/>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Equipment Note 7</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6/24/2019</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3.09%</w:t>
            </w:r>
          </w:p>
        </w:tc>
        <w:tc>
          <w:tcPr>
            <w:tcW w:w="12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Semi-annual</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6,980</w:t>
            </w: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Note 8</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12/27/2019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2.75%</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Semi-annual</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Equipment Note 9</w:t>
            </w:r>
          </w:p>
        </w:tc>
        <w:tc>
          <w:tcPr>
            <w:tcW w:w="12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12/24/2019</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3.01%</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9"/>
              </w:rPr>
              <w:t>Semi-annual</w:t>
            </w:r>
          </w:p>
        </w:tc>
        <w:tc>
          <w:tcPr>
            <w:tcW w:w="11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0" w:type="dxa"/>
            <w:vAlign w:val="bottom"/>
          </w:tcPr>
          <w:p>
            <w:pPr>
              <w:spacing w:after="0"/>
              <w:rPr>
                <w:sz w:val="1"/>
                <w:szCs w:val="1"/>
                <w:color w:val="auto"/>
              </w:rPr>
            </w:pPr>
          </w:p>
        </w:tc>
      </w:tr>
      <w:tr>
        <w:trPr>
          <w:trHeight w:val="223"/>
        </w:trPr>
        <w:tc>
          <w:tcPr>
            <w:tcW w:w="2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debt</w:t>
            </w: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29,420</w:t>
            </w:r>
          </w:p>
        </w:tc>
        <w:tc>
          <w:tcPr>
            <w:tcW w:w="0" w:type="dxa"/>
            <w:vAlign w:val="bottom"/>
          </w:tcPr>
          <w:p>
            <w:pPr>
              <w:spacing w:after="0"/>
              <w:rPr>
                <w:sz w:val="1"/>
                <w:szCs w:val="1"/>
                <w:color w:val="auto"/>
              </w:rPr>
            </w:pPr>
          </w:p>
        </w:tc>
      </w:tr>
      <w:tr>
        <w:trPr>
          <w:trHeight w:val="155"/>
        </w:trPr>
        <w:tc>
          <w:tcPr>
            <w:tcW w:w="27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Less: current portion of long-term</w:t>
            </w: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25,039</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On September 13, 2019, the Company entered into a five-year amended and restated credit agreement (the “Credit Agreement”) with a syndicate of banks led by JPMorgan Chase Bank, N.A. and Bank of America, N.A, that provides for a $375 million facility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for refinancing existing indebtedness, working capital, capital expenditures, acquisitions, share repurchases,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Amounts borrowed under the Credit Agreement bear interest, at the Company’s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the Company’s consolidated leverage ratio (the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w:t>
      </w:r>
    </w:p>
    <w:p>
      <w:pPr>
        <w:spacing w:after="0" w:line="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1.75% for non-performance letters of credit or 0.50% to 0.875% for performance letters of credit, based on the Company’s consolidated Leverage Ratio. The Company is subject to a commitment fee of 0.15% to 0.25%, based on the Company’s consolidated Leverage Ratio, on any unused portion of the Facility. The Credit Agreement restricts certain types of payments when the Company’s consolidated Leverage Ratio exceeds 2.50 or the Company's consolidated Liquidity (as defined in the Credit Agreement) is less than $50 million.</w:t>
      </w:r>
    </w:p>
    <w:p>
      <w:pPr>
        <w:spacing w:after="0" w:line="193"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Under the Credit Agreement, the Company is subject to certain financial covenants and is limited to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covenants including limitations on asset sales, investments, indebtedness and liens. The Company was in compliance with all of its financial covenants under the Credit Agreement as of June 30, 2021.</w:t>
      </w:r>
    </w:p>
    <w:p>
      <w:pPr>
        <w:spacing w:after="0" w:line="15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June 30, 2021, the Company had no debt outstanding under the Facility and letters of credit outstanding under the Facility of approximately $12.3 million, which are almost entirely related to the Company's payment obligation under its insurance programs.</w:t>
      </w:r>
    </w:p>
    <w:p>
      <w:pPr>
        <w:spacing w:after="0" w:line="170"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As of December 31, 2020, the Company had no debt outstanding under the Facility and letters of credit outstanding under the Facility of approximately $10.4 million, including $9.8 million related to the Company's payment obligation under its insurance programs and approximately $0.6 million related to contract performance obligations.</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had remaining deferred debt issuance costs totaling $1.0 million as of June 30, 2021, related to the line of credit. As permitted, debt issuance costs have been deferred and are presented as an asset within other assets, which is amortized as interest expense over the term of the line of credit.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Notes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has entered into Master Equipment Loan and Security Agreements (the “Master Loan Agreements”) with multiple banks. The Master Loan Agreements may be used for the financing of equipment between the Company and the lending banks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As of June 30, 2021, the Company had two Equipment Notes outstanding under the Master Loan Agreements that are collateralized by equipment and vehicles owned by the Company. The following table sets forth our remaining principal payments for the Company’s outstanding Equipment Notes as of June 30,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Future</w:t>
            </w:r>
          </w:p>
        </w:tc>
      </w:tr>
      <w:tr>
        <w:trPr>
          <w:trHeight w:val="162"/>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Equipment Notes</w:t>
            </w:r>
          </w:p>
        </w:tc>
      </w:tr>
      <w:tr>
        <w:trPr>
          <w:trHeight w:val="186"/>
        </w:trPr>
        <w:tc>
          <w:tcPr>
            <w:tcW w:w="9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46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Principal Payments</w:t>
            </w:r>
          </w:p>
        </w:tc>
      </w:tr>
      <w:tr>
        <w:trPr>
          <w:trHeight w:val="26"/>
        </w:trPr>
        <w:tc>
          <w:tcPr>
            <w:tcW w:w="9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9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50"/>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1,572</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2,962</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9620" w:type="dxa"/>
            <w:vAlign w:val="bottom"/>
            <w:gridSpan w:val="2"/>
          </w:tcPr>
          <w:p>
            <w:pPr>
              <w:ind w:left="20"/>
              <w:spacing w:after="0"/>
              <w:rPr>
                <w:sz w:val="20"/>
                <w:szCs w:val="20"/>
                <w:color w:val="auto"/>
              </w:rPr>
            </w:pPr>
            <w:r>
              <w:rPr>
                <w:rFonts w:ascii="Arial" w:cs="Arial" w:eastAsia="Arial" w:hAnsi="Arial"/>
                <w:sz w:val="18"/>
                <w:szCs w:val="18"/>
                <w:color w:val="auto"/>
              </w:rPr>
              <w:t>Total future principal payments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8,785</w:t>
            </w:r>
          </w:p>
        </w:tc>
      </w:tr>
      <w:tr>
        <w:trPr>
          <w:trHeight w:val="27"/>
        </w:trPr>
        <w:tc>
          <w:tcPr>
            <w:tcW w:w="9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 of equipment notes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r>
      <w:tr>
        <w:trPr>
          <w:trHeight w:val="263"/>
        </w:trPr>
        <w:tc>
          <w:tcPr>
            <w:tcW w:w="9620" w:type="dxa"/>
            <w:vAlign w:val="bottom"/>
            <w:gridSpan w:val="2"/>
          </w:tcPr>
          <w:p>
            <w:pPr>
              <w:ind w:left="20"/>
              <w:spacing w:after="0"/>
              <w:rPr>
                <w:sz w:val="20"/>
                <w:szCs w:val="20"/>
                <w:color w:val="auto"/>
              </w:rPr>
            </w:pPr>
            <w:r>
              <w:rPr>
                <w:rFonts w:ascii="Arial" w:cs="Arial" w:eastAsia="Arial" w:hAnsi="Arial"/>
                <w:sz w:val="18"/>
                <w:szCs w:val="18"/>
                <w:color w:val="auto"/>
              </w:rPr>
              <w:t>Long-term principal obligations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7,235</w:t>
            </w:r>
          </w:p>
        </w:tc>
      </w:tr>
      <w:tr>
        <w:trPr>
          <w:trHeight w:val="21"/>
        </w:trPr>
        <w:tc>
          <w:tcPr>
            <w:tcW w:w="9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guaranteed not-to-exceed maximum price.</w:t>
      </w:r>
    </w:p>
    <w:p>
      <w:pPr>
        <w:spacing w:after="0" w:line="178"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10–Segment Information.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components of the Company’s revenue by contract type for the three and six months ended June 30, 2021 and 2020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Three months ended June 30, 2021</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900"/>
              <w:spacing w:after="0"/>
              <w:rPr>
                <w:sz w:val="20"/>
                <w:szCs w:val="20"/>
                <w:color w:val="auto"/>
              </w:rPr>
            </w:pPr>
            <w:r>
              <w:rPr>
                <w:rFonts w:ascii="Arial" w:cs="Arial" w:eastAsia="Arial" w:hAnsi="Arial"/>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rPr>
              <w:t>C&amp;I</w:t>
            </w: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6"/>
                <w:szCs w:val="16"/>
                <w:color w:val="auto"/>
              </w:rPr>
            </w:pPr>
          </w:p>
        </w:tc>
        <w:tc>
          <w:tcPr>
            <w:tcW w:w="1000" w:type="dxa"/>
            <w:vAlign w:val="bottom"/>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3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3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259,218</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416,657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64.1 %</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89,953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18,483</w:t>
            </w:r>
          </w:p>
        </w:tc>
        <w:tc>
          <w:tcPr>
            <w:tcW w:w="1440" w:type="dxa"/>
            <w:vAlign w:val="bottom"/>
            <w:gridSpan w:val="3"/>
          </w:tcPr>
          <w:p>
            <w:pPr>
              <w:jc w:val="right"/>
              <w:ind w:right="148"/>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108,436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T&amp;E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18,138</w:t>
            </w:r>
          </w:p>
        </w:tc>
        <w:tc>
          <w:tcPr>
            <w:tcW w:w="14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26,903</w:t>
            </w:r>
          </w:p>
        </w:tc>
        <w:tc>
          <w:tcPr>
            <w:tcW w:w="1440" w:type="dxa"/>
            <w:vAlign w:val="bottom"/>
            <w:gridSpan w:val="3"/>
          </w:tcPr>
          <w:p>
            <w:pPr>
              <w:jc w:val="right"/>
              <w:ind w:right="148"/>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326,831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322,742</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649,573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5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Three months ended June 30, 2020</w:t>
            </w: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900"/>
              <w:spacing w:after="0"/>
              <w:rPr>
                <w:sz w:val="20"/>
                <w:szCs w:val="20"/>
                <w:color w:val="auto"/>
              </w:rPr>
            </w:pPr>
            <w:r>
              <w:rPr>
                <w:rFonts w:ascii="Arial" w:cs="Arial" w:eastAsia="Arial" w:hAnsi="Arial"/>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rPr>
              <w:t>C&amp;I</w:t>
            </w: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6"/>
                <w:szCs w:val="16"/>
                <w:color w:val="auto"/>
              </w:rPr>
            </w:pPr>
          </w:p>
        </w:tc>
        <w:tc>
          <w:tcPr>
            <w:tcW w:w="1000" w:type="dxa"/>
            <w:vAlign w:val="bottom"/>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3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3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187,662</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79.4 %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61.2 %</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84,629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19,047</w:t>
            </w:r>
          </w:p>
        </w:tc>
        <w:tc>
          <w:tcPr>
            <w:tcW w:w="1440" w:type="dxa"/>
            <w:vAlign w:val="bottom"/>
            <w:gridSpan w:val="3"/>
          </w:tcPr>
          <w:p>
            <w:pPr>
              <w:jc w:val="right"/>
              <w:ind w:right="148"/>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103,676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T&amp;E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21,752</w:t>
            </w:r>
          </w:p>
        </w:tc>
        <w:tc>
          <w:tcPr>
            <w:tcW w:w="14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7,831</w:t>
            </w:r>
          </w:p>
        </w:tc>
        <w:tc>
          <w:tcPr>
            <w:tcW w:w="1440" w:type="dxa"/>
            <w:vAlign w:val="bottom"/>
            <w:gridSpan w:val="3"/>
          </w:tcPr>
          <w:p>
            <w:pPr>
              <w:jc w:val="right"/>
              <w:ind w:right="148"/>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276,759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236,292</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513,051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revenue by contract type for the six months ended June 30, 2021 and 2020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Six months ended June 30, 2021</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920"/>
              <w:spacing w:after="0"/>
              <w:rPr>
                <w:sz w:val="20"/>
                <w:szCs w:val="20"/>
                <w:color w:val="auto"/>
              </w:rPr>
            </w:pPr>
            <w:r>
              <w:rPr>
                <w:rFonts w:ascii="Arial" w:cs="Arial" w:eastAsia="Arial" w:hAnsi="Arial"/>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4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rPr>
              <w:t>C&amp;I</w:t>
            </w:r>
          </w:p>
        </w:tc>
        <w:tc>
          <w:tcPr>
            <w:tcW w:w="260" w:type="dxa"/>
            <w:vAlign w:val="bottom"/>
          </w:tcPr>
          <w:p>
            <w:pPr>
              <w:spacing w:after="0"/>
              <w:rPr>
                <w:sz w:val="16"/>
                <w:szCs w:val="16"/>
                <w:color w:val="auto"/>
              </w:rPr>
            </w:pPr>
          </w:p>
        </w:tc>
        <w:tc>
          <w:tcPr>
            <w:tcW w:w="1360" w:type="dxa"/>
            <w:vAlign w:val="bottom"/>
            <w:gridSpan w:val="3"/>
          </w:tcPr>
          <w:p>
            <w:pPr>
              <w:ind w:left="900"/>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6"/>
                <w:szCs w:val="16"/>
                <w:color w:val="auto"/>
              </w:rPr>
            </w:pPr>
          </w:p>
        </w:tc>
        <w:tc>
          <w:tcPr>
            <w:tcW w:w="960" w:type="dxa"/>
            <w:vAlign w:val="bottom"/>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3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486,927</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81.1 %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796,297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64.1 %</w:t>
            </w:r>
          </w:p>
        </w:tc>
        <w:tc>
          <w:tcPr>
            <w:tcW w:w="0" w:type="dxa"/>
            <w:vAlign w:val="bottom"/>
          </w:tcPr>
          <w:p>
            <w:pPr>
              <w:spacing w:after="0"/>
              <w:rPr>
                <w:sz w:val="1"/>
                <w:szCs w:val="1"/>
                <w:color w:val="auto"/>
              </w:rPr>
            </w:pPr>
          </w:p>
        </w:tc>
      </w:tr>
      <w:tr>
        <w:trPr>
          <w:trHeight w:val="243"/>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175,222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36,914</w:t>
            </w:r>
          </w:p>
        </w:tc>
        <w:tc>
          <w:tcPr>
            <w:tcW w:w="1440" w:type="dxa"/>
            <w:vAlign w:val="bottom"/>
            <w:gridSpan w:val="3"/>
          </w:tcPr>
          <w:p>
            <w:pPr>
              <w:jc w:val="right"/>
              <w:ind w:right="148"/>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212,136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T&amp;E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32,520</w:t>
            </w:r>
          </w:p>
        </w:tc>
        <w:tc>
          <w:tcPr>
            <w:tcW w:w="14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43,959</w:t>
            </w:r>
          </w:p>
        </w:tc>
        <w:tc>
          <w:tcPr>
            <w:tcW w:w="1440" w:type="dxa"/>
            <w:vAlign w:val="bottom"/>
            <w:gridSpan w:val="3"/>
          </w:tcPr>
          <w:p>
            <w:pPr>
              <w:jc w:val="right"/>
              <w:ind w:right="148"/>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57,729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641,739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600,320</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1,242,059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Six months ended June 30, 2020</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920"/>
              <w:spacing w:after="0"/>
              <w:rPr>
                <w:sz w:val="20"/>
                <w:szCs w:val="20"/>
                <w:color w:val="auto"/>
              </w:rPr>
            </w:pPr>
            <w:r>
              <w:rPr>
                <w:rFonts w:ascii="Arial" w:cs="Arial" w:eastAsia="Arial" w:hAnsi="Arial"/>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4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rPr>
              <w:t>C&amp;I</w:t>
            </w:r>
          </w:p>
        </w:tc>
        <w:tc>
          <w:tcPr>
            <w:tcW w:w="260" w:type="dxa"/>
            <w:vAlign w:val="bottom"/>
          </w:tcPr>
          <w:p>
            <w:pPr>
              <w:spacing w:after="0"/>
              <w:rPr>
                <w:sz w:val="16"/>
                <w:szCs w:val="16"/>
                <w:color w:val="auto"/>
              </w:rPr>
            </w:pPr>
          </w:p>
        </w:tc>
        <w:tc>
          <w:tcPr>
            <w:tcW w:w="1360" w:type="dxa"/>
            <w:vAlign w:val="bottom"/>
            <w:gridSpan w:val="3"/>
          </w:tcPr>
          <w:p>
            <w:pPr>
              <w:ind w:left="900"/>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6"/>
                <w:szCs w:val="16"/>
                <w:color w:val="auto"/>
              </w:rPr>
            </w:pPr>
          </w:p>
        </w:tc>
        <w:tc>
          <w:tcPr>
            <w:tcW w:w="960" w:type="dxa"/>
            <w:vAlign w:val="bottom"/>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3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406,201</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82.0 %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653,553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63.4 %</w:t>
            </w:r>
          </w:p>
        </w:tc>
        <w:tc>
          <w:tcPr>
            <w:tcW w:w="0" w:type="dxa"/>
            <w:vAlign w:val="bottom"/>
          </w:tcPr>
          <w:p>
            <w:pPr>
              <w:spacing w:after="0"/>
              <w:rPr>
                <w:sz w:val="1"/>
                <w:szCs w:val="1"/>
                <w:color w:val="auto"/>
              </w:rPr>
            </w:pPr>
          </w:p>
        </w:tc>
      </w:tr>
      <w:tr>
        <w:trPr>
          <w:trHeight w:val="243"/>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147,939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37,123</w:t>
            </w:r>
          </w:p>
        </w:tc>
        <w:tc>
          <w:tcPr>
            <w:tcW w:w="1440" w:type="dxa"/>
            <w:vAlign w:val="bottom"/>
            <w:gridSpan w:val="3"/>
          </w:tcPr>
          <w:p>
            <w:pPr>
              <w:jc w:val="right"/>
              <w:ind w:right="148"/>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185,062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T&amp;E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37,554</w:t>
            </w:r>
          </w:p>
        </w:tc>
        <w:tc>
          <w:tcPr>
            <w:tcW w:w="14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14,614</w:t>
            </w:r>
          </w:p>
        </w:tc>
        <w:tc>
          <w:tcPr>
            <w:tcW w:w="1440" w:type="dxa"/>
            <w:vAlign w:val="bottom"/>
            <w:gridSpan w:val="3"/>
          </w:tcPr>
          <w:p>
            <w:pPr>
              <w:jc w:val="right"/>
              <w:ind w:right="148"/>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536,029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495,492</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1,031,521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revenue by market type for the three months ended June 30, 2021 and 2020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left="596"/>
              <w:spacing w:after="0"/>
              <w:rPr>
                <w:sz w:val="20"/>
                <w:szCs w:val="20"/>
                <w:color w:val="auto"/>
              </w:rPr>
            </w:pPr>
            <w:r>
              <w:rPr>
                <w:rFonts w:ascii="Arial" w:cs="Arial" w:eastAsia="Arial" w:hAnsi="Arial"/>
                <w:sz w:val="14"/>
                <w:szCs w:val="14"/>
                <w:b w:val="1"/>
                <w:bCs w:val="1"/>
                <w:color w:val="auto"/>
                <w:w w:val="91"/>
              </w:rPr>
              <w:t>Three months ended June 30, 2021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left="616"/>
              <w:spacing w:after="0"/>
              <w:rPr>
                <w:sz w:val="20"/>
                <w:szCs w:val="20"/>
                <w:color w:val="auto"/>
              </w:rPr>
            </w:pPr>
            <w:r>
              <w:rPr>
                <w:rFonts w:ascii="Arial" w:cs="Arial" w:eastAsia="Arial" w:hAnsi="Arial"/>
                <w:sz w:val="14"/>
                <w:szCs w:val="14"/>
                <w:b w:val="1"/>
                <w:bCs w:val="1"/>
                <w:color w:val="auto"/>
                <w:w w:val="91"/>
              </w:rPr>
              <w:t>Three months ended June 30, 2020</w:t>
            </w:r>
          </w:p>
        </w:tc>
        <w:tc>
          <w:tcPr>
            <w:tcW w:w="940" w:type="dxa"/>
            <w:vAlign w:val="bottom"/>
            <w:tcBorders>
              <w:bottom w:val="single" w:sz="8" w:color="auto"/>
            </w:tcBorders>
          </w:tcPr>
          <w:p>
            <w:pPr>
              <w:spacing w:after="0"/>
              <w:rPr>
                <w:sz w:val="16"/>
                <w:szCs w:val="16"/>
                <w:color w:val="auto"/>
              </w:rPr>
            </w:pPr>
          </w:p>
        </w:tc>
      </w:tr>
      <w:tr>
        <w:trPr>
          <w:trHeight w:val="188"/>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Percent</w:t>
            </w:r>
          </w:p>
        </w:tc>
        <w:tc>
          <w:tcPr>
            <w:tcW w:w="9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1"/>
              </w:rPr>
              <w:t>Segment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Percent</w:t>
            </w:r>
          </w:p>
        </w:tc>
        <w:tc>
          <w:tcPr>
            <w:tcW w:w="9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7"/>
              </w:rPr>
              <w:t>Segment</w:t>
            </w:r>
          </w:p>
        </w:tc>
      </w:tr>
      <w:tr>
        <w:trPr>
          <w:trHeight w:val="265"/>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Transmission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210,946</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4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rPr>
              <w:t>T&amp;D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181,189</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35.3 %</w:t>
            </w: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center"/>
              <w:ind w:right="235"/>
              <w:spacing w:after="0"/>
              <w:rPr>
                <w:sz w:val="20"/>
                <w:szCs w:val="20"/>
                <w:color w:val="auto"/>
              </w:rPr>
            </w:pPr>
            <w:r>
              <w:rPr>
                <w:rFonts w:ascii="Arial" w:cs="Arial" w:eastAsia="Arial" w:hAnsi="Arial"/>
                <w:sz w:val="18"/>
                <w:szCs w:val="18"/>
                <w:color w:val="auto"/>
              </w:rPr>
              <w:t>T&amp;D</w:t>
            </w:r>
          </w:p>
        </w:tc>
      </w:tr>
      <w:tr>
        <w:trPr>
          <w:trHeight w:val="270"/>
        </w:trPr>
        <w:tc>
          <w:tcPr>
            <w:tcW w:w="2900" w:type="dxa"/>
            <w:vAlign w:val="bottom"/>
            <w:gridSpan w:val="2"/>
          </w:tcPr>
          <w:p>
            <w:pPr>
              <w:ind w:left="140"/>
              <w:spacing w:after="0"/>
              <w:rPr>
                <w:sz w:val="20"/>
                <w:szCs w:val="20"/>
                <w:color w:val="auto"/>
              </w:rPr>
            </w:pPr>
            <w:r>
              <w:rPr>
                <w:rFonts w:ascii="Arial" w:cs="Arial" w:eastAsia="Arial" w:hAnsi="Arial"/>
                <w:sz w:val="18"/>
                <w:szCs w:val="18"/>
                <w:color w:val="auto"/>
              </w:rPr>
              <w:t>Distribution</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115,885</w:t>
            </w:r>
          </w:p>
        </w:tc>
        <w:tc>
          <w:tcPr>
            <w:tcW w:w="100" w:type="dxa"/>
            <w:vAlign w:val="bottom"/>
          </w:tcPr>
          <w:p>
            <w:pPr>
              <w:spacing w:after="0"/>
              <w:rPr>
                <w:sz w:val="23"/>
                <w:szCs w:val="23"/>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17.8</w:t>
            </w:r>
          </w:p>
        </w:tc>
        <w:tc>
          <w:tcPr>
            <w:tcW w:w="420" w:type="dxa"/>
            <w:vAlign w:val="bottom"/>
          </w:tcPr>
          <w:p>
            <w:pPr>
              <w:spacing w:after="0"/>
              <w:rPr>
                <w:sz w:val="23"/>
                <w:szCs w:val="23"/>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color w:val="auto"/>
              </w:rPr>
              <w:t>T&amp;D</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95,570</w:t>
            </w:r>
          </w:p>
        </w:tc>
        <w:tc>
          <w:tcPr>
            <w:tcW w:w="100" w:type="dxa"/>
            <w:vAlign w:val="bottom"/>
          </w:tcPr>
          <w:p>
            <w:pPr>
              <w:spacing w:after="0"/>
              <w:rPr>
                <w:sz w:val="23"/>
                <w:szCs w:val="23"/>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18.6</w:t>
            </w:r>
          </w:p>
        </w:tc>
        <w:tc>
          <w:tcPr>
            <w:tcW w:w="420" w:type="dxa"/>
            <w:vAlign w:val="bottom"/>
          </w:tcPr>
          <w:p>
            <w:pPr>
              <w:spacing w:after="0"/>
              <w:rPr>
                <w:sz w:val="23"/>
                <w:szCs w:val="23"/>
                <w:color w:val="auto"/>
              </w:rPr>
            </w:pPr>
          </w:p>
        </w:tc>
        <w:tc>
          <w:tcPr>
            <w:tcW w:w="940" w:type="dxa"/>
            <w:vAlign w:val="bottom"/>
          </w:tcPr>
          <w:p>
            <w:pPr>
              <w:jc w:val="center"/>
              <w:ind w:right="235"/>
              <w:spacing w:after="0"/>
              <w:rPr>
                <w:sz w:val="20"/>
                <w:szCs w:val="20"/>
                <w:color w:val="auto"/>
              </w:rPr>
            </w:pPr>
            <w:r>
              <w:rPr>
                <w:rFonts w:ascii="Arial" w:cs="Arial" w:eastAsia="Arial" w:hAnsi="Arial"/>
                <w:sz w:val="18"/>
                <w:szCs w:val="18"/>
                <w:color w:val="auto"/>
              </w:rPr>
              <w:t>T&amp;D</w:t>
            </w:r>
          </w:p>
        </w:tc>
      </w:tr>
      <w:tr>
        <w:trPr>
          <w:trHeight w:val="270"/>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Electrical construction</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322,742</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49.7</w:t>
            </w:r>
          </w:p>
        </w:tc>
        <w:tc>
          <w:tcPr>
            <w:tcW w:w="4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rPr>
              <w:t>C&amp;I</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236,292</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46.1</w:t>
            </w: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center"/>
              <w:ind w:right="215"/>
              <w:spacing w:after="0"/>
              <w:rPr>
                <w:sz w:val="20"/>
                <w:szCs w:val="20"/>
                <w:color w:val="auto"/>
              </w:rPr>
            </w:pPr>
            <w:r>
              <w:rPr>
                <w:rFonts w:ascii="Arial" w:cs="Arial" w:eastAsia="Arial" w:hAnsi="Arial"/>
                <w:sz w:val="18"/>
                <w:szCs w:val="18"/>
                <w:color w:val="auto"/>
              </w:rPr>
              <w:t>C&amp;I</w:t>
            </w:r>
          </w:p>
        </w:tc>
      </w:tr>
      <w:tr>
        <w:trPr>
          <w:trHeight w:val="223"/>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649,573</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513,051</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revenue by market type for the six months ended June 30, 2021 and 2020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4"/>
          </w:tcPr>
          <w:p>
            <w:pPr>
              <w:jc w:val="center"/>
              <w:ind w:left="616"/>
              <w:spacing w:after="0"/>
              <w:rPr>
                <w:sz w:val="20"/>
                <w:szCs w:val="20"/>
                <w:color w:val="auto"/>
              </w:rPr>
            </w:pPr>
            <w:r>
              <w:rPr>
                <w:rFonts w:ascii="Arial" w:cs="Arial" w:eastAsia="Arial" w:hAnsi="Arial"/>
                <w:sz w:val="14"/>
                <w:szCs w:val="14"/>
                <w:b w:val="1"/>
                <w:bCs w:val="1"/>
                <w:color w:val="auto"/>
                <w:w w:val="90"/>
              </w:rPr>
              <w:t>Six months ended June 30, 2021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4"/>
          </w:tcPr>
          <w:p>
            <w:pPr>
              <w:jc w:val="center"/>
              <w:ind w:left="656"/>
              <w:spacing w:after="0"/>
              <w:rPr>
                <w:sz w:val="20"/>
                <w:szCs w:val="20"/>
                <w:color w:val="auto"/>
              </w:rPr>
            </w:pPr>
            <w:r>
              <w:rPr>
                <w:rFonts w:ascii="Arial" w:cs="Arial" w:eastAsia="Arial" w:hAnsi="Arial"/>
                <w:sz w:val="14"/>
                <w:szCs w:val="14"/>
                <w:b w:val="1"/>
                <w:bCs w:val="1"/>
                <w:color w:val="auto"/>
                <w:w w:val="90"/>
              </w:rPr>
              <w:t>Six months ended June 30, 2020</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Percent</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Segment</w:t>
            </w: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Percent</w:t>
            </w:r>
          </w:p>
        </w:tc>
        <w:tc>
          <w:tcPr>
            <w:tcW w:w="980" w:type="dxa"/>
            <w:vAlign w:val="bottom"/>
          </w:tcPr>
          <w:p>
            <w:pPr>
              <w:jc w:val="center"/>
              <w:ind w:right="175"/>
              <w:spacing w:after="0"/>
              <w:rPr>
                <w:sz w:val="20"/>
                <w:szCs w:val="20"/>
                <w:color w:val="auto"/>
              </w:rPr>
            </w:pPr>
            <w:r>
              <w:rPr>
                <w:rFonts w:ascii="Arial" w:cs="Arial" w:eastAsia="Arial" w:hAnsi="Arial"/>
                <w:sz w:val="14"/>
                <w:szCs w:val="14"/>
                <w:b w:val="1"/>
                <w:bCs w:val="1"/>
                <w:color w:val="auto"/>
                <w:w w:val="87"/>
              </w:rPr>
              <w:t>Segment</w:t>
            </w:r>
          </w:p>
        </w:tc>
        <w:tc>
          <w:tcPr>
            <w:tcW w:w="0" w:type="dxa"/>
            <w:vAlign w:val="bottom"/>
          </w:tcPr>
          <w:p>
            <w:pPr>
              <w:spacing w:after="0"/>
              <w:rPr>
                <w:sz w:val="1"/>
                <w:szCs w:val="1"/>
                <w:color w:val="auto"/>
              </w:rPr>
            </w:pPr>
          </w:p>
        </w:tc>
      </w:tr>
      <w:tr>
        <w:trPr>
          <w:trHeight w:val="26"/>
        </w:trPr>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Transmission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422,173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rPr>
              <w:t>T&amp;D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352,755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34.2 %</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right="195"/>
              <w:spacing w:after="0"/>
              <w:rPr>
                <w:sz w:val="20"/>
                <w:szCs w:val="20"/>
                <w:color w:val="auto"/>
              </w:rPr>
            </w:pPr>
            <w:r>
              <w:rPr>
                <w:rFonts w:ascii="Arial" w:cs="Arial" w:eastAsia="Arial" w:hAnsi="Arial"/>
                <w:sz w:val="18"/>
                <w:szCs w:val="18"/>
                <w:color w:val="auto"/>
              </w:rPr>
              <w:t>T&amp;D</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40"/>
              <w:spacing w:after="0"/>
              <w:rPr>
                <w:sz w:val="20"/>
                <w:szCs w:val="20"/>
                <w:color w:val="auto"/>
              </w:rPr>
            </w:pPr>
            <w:r>
              <w:rPr>
                <w:rFonts w:ascii="Arial" w:cs="Arial" w:eastAsia="Arial" w:hAnsi="Arial"/>
                <w:sz w:val="18"/>
                <w:szCs w:val="18"/>
                <w:color w:val="auto"/>
              </w:rPr>
              <w:t>Distribution</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219,566</w:t>
            </w:r>
          </w:p>
        </w:tc>
        <w:tc>
          <w:tcPr>
            <w:tcW w:w="100" w:type="dxa"/>
            <w:vAlign w:val="bottom"/>
          </w:tcPr>
          <w:p>
            <w:pPr>
              <w:spacing w:after="0"/>
              <w:rPr>
                <w:sz w:val="21"/>
                <w:szCs w:val="21"/>
                <w:color w:val="auto"/>
              </w:rPr>
            </w:pP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17.7</w:t>
            </w:r>
          </w:p>
        </w:tc>
        <w:tc>
          <w:tcPr>
            <w:tcW w:w="400" w:type="dxa"/>
            <w:vAlign w:val="bottom"/>
          </w:tcPr>
          <w:p>
            <w:pPr>
              <w:spacing w:after="0"/>
              <w:rPr>
                <w:sz w:val="21"/>
                <w:szCs w:val="21"/>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rPr>
              <w:t>T&amp;D</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183,274</w:t>
            </w:r>
          </w:p>
        </w:tc>
        <w:tc>
          <w:tcPr>
            <w:tcW w:w="120" w:type="dxa"/>
            <w:vAlign w:val="bottom"/>
          </w:tcPr>
          <w:p>
            <w:pPr>
              <w:spacing w:after="0"/>
              <w:rPr>
                <w:sz w:val="21"/>
                <w:szCs w:val="21"/>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17.8</w:t>
            </w:r>
          </w:p>
        </w:tc>
        <w:tc>
          <w:tcPr>
            <w:tcW w:w="380" w:type="dxa"/>
            <w:vAlign w:val="bottom"/>
          </w:tcPr>
          <w:p>
            <w:pPr>
              <w:spacing w:after="0"/>
              <w:rPr>
                <w:sz w:val="21"/>
                <w:szCs w:val="21"/>
                <w:color w:val="auto"/>
              </w:rPr>
            </w:pPr>
          </w:p>
        </w:tc>
        <w:tc>
          <w:tcPr>
            <w:tcW w:w="980" w:type="dxa"/>
            <w:vAlign w:val="bottom"/>
          </w:tcPr>
          <w:p>
            <w:pPr>
              <w:jc w:val="center"/>
              <w:ind w:right="195"/>
              <w:spacing w:after="0"/>
              <w:rPr>
                <w:sz w:val="20"/>
                <w:szCs w:val="20"/>
                <w:color w:val="auto"/>
              </w:rPr>
            </w:pPr>
            <w:r>
              <w:rPr>
                <w:rFonts w:ascii="Arial" w:cs="Arial" w:eastAsia="Arial" w:hAnsi="Arial"/>
                <w:sz w:val="18"/>
                <w:szCs w:val="18"/>
                <w:color w:val="auto"/>
              </w:rPr>
              <w:t>T&amp;D</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Electrical construction</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600,320</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48.3</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C&amp;I</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495,492</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48.0</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ind w:right="175"/>
              <w:spacing w:after="0"/>
              <w:rPr>
                <w:sz w:val="20"/>
                <w:szCs w:val="20"/>
                <w:color w:val="auto"/>
              </w:rPr>
            </w:pPr>
            <w:r>
              <w:rPr>
                <w:rFonts w:ascii="Arial" w:cs="Arial" w:eastAsia="Arial" w:hAnsi="Arial"/>
                <w:sz w:val="18"/>
                <w:szCs w:val="18"/>
                <w:color w:val="auto"/>
              </w:rPr>
              <w:t>C&amp;I</w:t>
            </w:r>
          </w:p>
        </w:tc>
        <w:tc>
          <w:tcPr>
            <w:tcW w:w="0" w:type="dxa"/>
            <w:vAlign w:val="bottom"/>
          </w:tcPr>
          <w:p>
            <w:pPr>
              <w:spacing w:after="0"/>
              <w:rPr>
                <w:sz w:val="1"/>
                <w:szCs w:val="1"/>
                <w:color w:val="auto"/>
              </w:rPr>
            </w:pPr>
          </w:p>
        </w:tc>
      </w:tr>
      <w:tr>
        <w:trPr>
          <w:trHeight w:val="26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1,242,059</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1,031,521</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of June 30, 2021, the Company had $1.45 billion of remaining performance obligations. The Company’s remaining performance obligations include projects that have a written award, a letter of intent, a notice to proceed or an agreed upon work order to perform work on mutually accepted terms and conditions.</w:t>
      </w:r>
    </w:p>
    <w:p>
      <w:pPr>
        <w:spacing w:after="0" w:line="184" w:lineRule="exact"/>
        <w:rPr>
          <w:sz w:val="20"/>
          <w:szCs w:val="20"/>
          <w:color w:val="auto"/>
        </w:rPr>
      </w:pPr>
    </w:p>
    <w:p>
      <w:pPr>
        <w:jc w:val="both"/>
        <w:ind w:right="280" w:firstLine="648"/>
        <w:spacing w:after="0" w:line="342" w:lineRule="auto"/>
        <w:rPr>
          <w:sz w:val="20"/>
          <w:szCs w:val="20"/>
          <w:color w:val="auto"/>
        </w:rPr>
      </w:pPr>
      <w:r>
        <w:rPr>
          <w:rFonts w:ascii="Arial" w:cs="Arial" w:eastAsia="Arial" w:hAnsi="Arial"/>
          <w:sz w:val="16"/>
          <w:szCs w:val="16"/>
          <w:color w:val="auto"/>
        </w:rPr>
        <w:t>The following table summarizes the amount of remaining performance obligations as of June 30, 2021 that the Company expects to be realized and the amount of the remaining performance obligations that the Company reasonably estimates will not be recognized within the next twelve months.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gridSpan w:val="5"/>
          </w:tcPr>
          <w:p>
            <w:pPr>
              <w:ind w:left="180"/>
              <w:spacing w:after="0"/>
              <w:rPr>
                <w:sz w:val="20"/>
                <w:szCs w:val="20"/>
                <w:color w:val="auto"/>
              </w:rPr>
            </w:pPr>
            <w:r>
              <w:rPr>
                <w:rFonts w:ascii="Arial" w:cs="Arial" w:eastAsia="Arial" w:hAnsi="Arial"/>
                <w:sz w:val="14"/>
                <w:szCs w:val="14"/>
                <w:b w:val="1"/>
                <w:bCs w:val="1"/>
                <w:color w:val="auto"/>
              </w:rPr>
              <w:t>Remaining Performance Obligations at June 30, 2021</w:t>
            </w:r>
          </w:p>
        </w:tc>
        <w:tc>
          <w:tcPr>
            <w:tcW w:w="1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6"/>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160"/>
        </w:trPr>
        <w:tc>
          <w:tcPr>
            <w:tcW w:w="4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1"/>
              </w:rPr>
              <w:t>Amount estimated to not be</w:t>
            </w: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86"/>
        </w:trPr>
        <w:tc>
          <w:tcPr>
            <w:tcW w:w="4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6"/>
                <w:szCs w:val="16"/>
                <w:color w:val="auto"/>
              </w:rPr>
            </w:pPr>
          </w:p>
        </w:tc>
        <w:tc>
          <w:tcPr>
            <w:tcW w:w="1660" w:type="dxa"/>
            <w:vAlign w:val="bottom"/>
            <w:gridSpan w:val="2"/>
          </w:tcPr>
          <w:p>
            <w:pPr>
              <w:ind w:left="4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2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recognized within 12 months</w:t>
            </w:r>
          </w:p>
        </w:tc>
        <w:tc>
          <w:tcPr>
            <w:tcW w:w="180" w:type="dxa"/>
            <w:vAlign w:val="bottom"/>
          </w:tcPr>
          <w:p>
            <w:pPr>
              <w:spacing w:after="0"/>
              <w:rPr>
                <w:sz w:val="16"/>
                <w:szCs w:val="16"/>
                <w:color w:val="auto"/>
              </w:rPr>
            </w:pPr>
          </w:p>
        </w:tc>
        <w:tc>
          <w:tcPr>
            <w:tcW w:w="2000" w:type="dxa"/>
            <w:vAlign w:val="bottom"/>
          </w:tcPr>
          <w:p>
            <w:pPr>
              <w:jc w:val="right"/>
              <w:ind w:right="175"/>
              <w:spacing w:after="0"/>
              <w:rPr>
                <w:sz w:val="20"/>
                <w:szCs w:val="20"/>
                <w:color w:val="auto"/>
              </w:rPr>
            </w:pPr>
            <w:r>
              <w:rPr>
                <w:rFonts w:ascii="Arial" w:cs="Arial" w:eastAsia="Arial" w:hAnsi="Arial"/>
                <w:sz w:val="14"/>
                <w:szCs w:val="14"/>
                <w:b w:val="1"/>
                <w:bCs w:val="1"/>
                <w:color w:val="auto"/>
                <w:w w:val="95"/>
              </w:rPr>
              <w:t>Total at December 31, 2020</w:t>
            </w:r>
          </w:p>
        </w:tc>
      </w:tr>
      <w:tr>
        <w:trPr>
          <w:trHeight w:val="26"/>
        </w:trPr>
        <w:tc>
          <w:tcPr>
            <w:tcW w:w="4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0"/>
        </w:trPr>
        <w:tc>
          <w:tcPr>
            <w:tcW w:w="4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50"/>
        </w:trPr>
        <w:tc>
          <w:tcPr>
            <w:tcW w:w="4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T&amp;D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645,422</w:t>
            </w:r>
          </w:p>
        </w:tc>
      </w:tr>
      <w:tr>
        <w:trPr>
          <w:trHeight w:val="243"/>
        </w:trPr>
        <w:tc>
          <w:tcPr>
            <w:tcW w:w="4740" w:type="dxa"/>
            <w:vAlign w:val="bottom"/>
            <w:gridSpan w:val="2"/>
          </w:tcPr>
          <w:p>
            <w:pPr>
              <w:jc w:val="center"/>
              <w:ind w:right="60"/>
              <w:spacing w:after="0"/>
              <w:rPr>
                <w:sz w:val="20"/>
                <w:szCs w:val="20"/>
                <w:color w:val="auto"/>
              </w:rPr>
            </w:pPr>
            <w:r>
              <w:rPr>
                <w:rFonts w:ascii="Arial" w:cs="Arial" w:eastAsia="Arial" w:hAnsi="Arial"/>
                <w:sz w:val="18"/>
                <w:szCs w:val="18"/>
                <w:color w:val="auto"/>
              </w:rPr>
              <w:t>C&amp;I</w:t>
            </w: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916,598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163,142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889,596</w:t>
            </w:r>
          </w:p>
        </w:tc>
      </w:tr>
      <w:tr>
        <w:trPr>
          <w:trHeight w:val="27"/>
        </w:trPr>
        <w:tc>
          <w:tcPr>
            <w:tcW w:w="4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88"/>
        </w:trPr>
        <w:tc>
          <w:tcPr>
            <w:tcW w:w="4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1,446,616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288,890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1,535,018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Company expects a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U.S. federal statutory tax rate was 21% for each of the three and six months ended June 30, 2021 and 2020. The Company’s effective tax rate for the three and six months ended June 30, 2021 was 27.0% and 26.6%, respectively, of pretax income compared to the effective tax rate for the three and six months ended June 30, 2020 of 27.1% and 27.9%, respectively.</w:t>
      </w:r>
    </w:p>
    <w:p>
      <w:pPr>
        <w:spacing w:after="0" w:line="18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difference between the U.S. federal statutory tax rate and the Company’s effective tax rate for the three and six months ended June 30, 2021 was primarily due to state income taxes and foreign earnings and the associated impact of the global intangible low tax income (“GILTI”) and other permanent difference items, partially offset by a favorable impact from stock compensation excess tax benefits.</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difference between the U.S. federal statutory tax rate and the Company’s effective tax rate for the three and six months ended June 30, 2020, was primarily due to state income taxes and foreign earnings and the associated impact GILTI.</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Company had unrecognized tax benefits of approximately $0.5 million and $0.4 million as of June 30, 2021 and December 31, 2020, respectively, which were included in other liabilities in the accompanying consolidated balance sheets.</w:t>
      </w:r>
    </w:p>
    <w:p>
      <w:pPr>
        <w:spacing w:after="0" w:line="170"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and six months ended June 30, 2021 and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subject to taxation in various jurisdictions. The Company’s 2017 through 2019 tax returns are subject to examination by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authorities. The Company’s tax returns are subject to examination by various state authorities for the years 2016 through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June 30, 2021, the Company had approximately $14.2 million in outstanding purchase orders for certain construction equipment, with cash payments scheduled to occur over the next six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and Claims Accruals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carries insurance policies, which are subject to certain deductibles, for workers’ compensation, general liability, automobile liability and other insurance coverage. The deductible per occurrence for each line of coverage is up to $1.0 million, except for wildfire coverage which has a deductible of $2.0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spacing w:after="0" w:line="188"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Company’s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Payment Bonds and Parent Guarantees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June 30, 2021, an aggregate of approximately $1.30 billion in original face amount of bonds issued by the Company’s sureties were outstanding. The Company estimated the remaining cost to complete these bonded projects was approximately $605.4 million as of June 30, 2021.</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Indemnities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From time to time, pursuant to its service arrangements, the Company indemnifies its customers for claims related to the services it provides under those service arrangements. These indemnification obligations may subject the Company to indemnity claims and liabilities and related litigation. The Company is not aware of any material unrecorded liabilities for asserted claims in connection with these indemnification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2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underfunding of some of the multi-employer pension plans to which its subsidiaries contribute have been classified as “critical” status, the Company is not currently aware of any potential liabilities related to this issue.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Matters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is routinely subject to other civil claims, litigation and arbitration, and regulatory investigations arising in the ordinary course of our business, as well as in respect of our divested businesses. These claims, lawsuits and other proceedings include claims related to the Company’s current services and operations, as well as our historic operations.</w:t>
      </w:r>
    </w:p>
    <w:p>
      <w:pPr>
        <w:spacing w:after="0" w:line="184"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The Company maintains two equity compensation plans under which stock-based compensation has been granted: the 2017 Long-Term Incentive Plan (which was amended and restated as of April 23, 2020) (the “LTIP”) and the 2007 Long-Term Incentive Plan (as amended) (the “2007 Plan”). Upon the adoption of the original LTIP in 2017, awards were no longer granted under the 2007 Plan. The LTIP provides for grants of (a) incentive stock options qualified as such under U.S. federal income tax laws, (b) stock options that do not qualify as incentive stock options, (c) stock appreciation rights,</w:t>
      </w:r>
    </w:p>
    <w:p>
      <w:pPr>
        <w:spacing w:after="0" w:line="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restricted stock awards, (e) restricted stock units, (f) performance share awards, (g) phantom stock units, (h) stock bonuses, (i) dividend equivalents, and</w:t>
      </w:r>
    </w:p>
    <w:p>
      <w:pPr>
        <w:spacing w:after="0" w:line="32" w:lineRule="exact"/>
        <w:rPr>
          <w:rFonts w:ascii="Arial" w:cs="Arial" w:eastAsia="Arial" w:hAnsi="Arial"/>
          <w:sz w:val="16"/>
          <w:szCs w:val="16"/>
          <w:color w:val="auto"/>
        </w:rPr>
      </w:pPr>
    </w:p>
    <w:p>
      <w:pPr>
        <w:ind w:right="120" w:firstLine="8"/>
        <w:spacing w:after="0" w:line="260"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combination of such grants. The Company has outstanding grants of non-qualified stock options, time-vested stock awards in the form of restricted stock units and internal metric-based and market-based performance stock units.</w:t>
      </w:r>
    </w:p>
    <w:p>
      <w:pPr>
        <w:spacing w:after="0" w:line="18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During the six months ended June 30, 2021, the Company granted time-vested stock awards covering 57,196 shares of common stock under the LTIP, which vest ratably over three years for employee awards and after one year for non-employee director awards, at a weighted average grant date fair value of $66.80. During the six months ended June 30, 2021, time-vested stock awards covering 87,584 shares of common stock vested at a weighted average grant date fair value of $29.20.</w:t>
      </w:r>
    </w:p>
    <w:p>
      <w:pPr>
        <w:spacing w:after="0" w:line="18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During the six months ended June 30, 2021, the Company granted 42,091 performance share awards under the LTIP at target, which will cliff vest, if earned, on December 31, 2023, at a weighted average grant date fair value of $80.11. The number of shares ultimately earned under a performance award may vary from zero to 200% of the target shares granted, based upon the Company’s performance compared to certain metrics. 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following the performance period if the stated performance targets and minimum service requirements are attained and are paid in shares of the Company’s common stock.</w:t>
      </w:r>
    </w:p>
    <w:p>
      <w:pPr>
        <w:spacing w:after="0" w:line="17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the six months ended June 30, 2021, plan participants exercised options to purchase 18,640 shares of the Company’s common stock with a weighted average exercise price of $23.02.</w:t>
      </w:r>
    </w:p>
    <w:p>
      <w:pPr>
        <w:spacing w:after="0" w:line="17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The Company recognizes stock-based compensation expense related to restricted stock units based on the grant date fair value, which was the closing price of the Company’s stock on the date of grant. The fair value is expensed over the service period, which is generally three years.</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MYR Group is a holding company of specialty contractors serving electrical utility infrastructure and commercial construction markets in the United States and western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 safety costs, professional fees, IT expenses and management fees. The accounting policies of the segments are the same as those described in the Note 1–Organization, Business and Significant Accounting Policies to the 2020 Annual Report.</w:t>
      </w:r>
    </w:p>
    <w:p>
      <w:pPr>
        <w:spacing w:after="0" w:line="164"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Commercial and Industrial: The C&amp;I segment provides services such as the design, installation, maintenance and repair of commercial and industrial wiring, installation of traffic networks and the installation of bridge, roadway and tunnel lighting. Typical C&amp;I contracts cover electrical contracting services for airports, hospitals, data centers, hotels, stadiums, convention centers, renewable energy projects, manufacturing plants, processing facilities, 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in the following table is derived from the segment’s internal financial reports used for corporate management purposes: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20" w:type="dxa"/>
            <w:vAlign w:val="bottom"/>
            <w:gridSpan w:val="4"/>
          </w:tcPr>
          <w:p>
            <w:pPr>
              <w:jc w:val="right"/>
              <w:ind w:right="710"/>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r>
      <w:tr>
        <w:trPr>
          <w:trHeight w:val="270"/>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3"/>
                <w:szCs w:val="23"/>
                <w:color w:val="auto"/>
              </w:rPr>
            </w:pPr>
          </w:p>
        </w:tc>
        <w:tc>
          <w:tcPr>
            <w:tcW w:w="1080" w:type="dxa"/>
            <w:vAlign w:val="bottom"/>
          </w:tcPr>
          <w:p>
            <w:pPr>
              <w:jc w:val="right"/>
              <w:ind w:right="434"/>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394"/>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5"/>
        </w:trPr>
        <w:tc>
          <w:tcPr>
            <w:tcW w:w="5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Contract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gridSpan w:val="2"/>
          </w:tcPr>
          <w:p>
            <w:pPr>
              <w:ind w:left="140"/>
              <w:spacing w:after="0"/>
              <w:rPr>
                <w:sz w:val="20"/>
                <w:szCs w:val="20"/>
                <w:color w:val="auto"/>
              </w:rPr>
            </w:pPr>
            <w:r>
              <w:rPr>
                <w:rFonts w:ascii="Arial" w:cs="Arial" w:eastAsia="Arial" w:hAnsi="Arial"/>
                <w:sz w:val="18"/>
                <w:szCs w:val="18"/>
                <w:color w:val="auto"/>
              </w:rPr>
              <w:t>T&amp;D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326,831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276,759</w:t>
            </w:r>
          </w:p>
        </w:tc>
        <w:tc>
          <w:tcPr>
            <w:tcW w:w="2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641,739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536,029</w:t>
            </w:r>
          </w:p>
        </w:tc>
      </w:tr>
      <w:tr>
        <w:trPr>
          <w:trHeight w:val="27"/>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C&amp;I</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322,742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236,292</w:t>
            </w:r>
          </w:p>
        </w:tc>
        <w:tc>
          <w:tcPr>
            <w:tcW w:w="2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600,320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495,492</w:t>
            </w:r>
          </w:p>
        </w:tc>
      </w:tr>
      <w:tr>
        <w:trPr>
          <w:trHeight w:val="237"/>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649,573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513,051</w:t>
            </w:r>
          </w:p>
        </w:tc>
        <w:tc>
          <w:tcPr>
            <w:tcW w:w="2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1,242,059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1,031,521</w:t>
            </w:r>
          </w:p>
        </w:tc>
      </w:tr>
      <w:tr>
        <w:trPr>
          <w:trHeight w:val="27"/>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43"/>
        </w:trPr>
        <w:tc>
          <w:tcPr>
            <w:tcW w:w="5360" w:type="dxa"/>
            <w:vAlign w:val="bottom"/>
            <w:gridSpan w:val="2"/>
          </w:tcPr>
          <w:p>
            <w:pPr>
              <w:ind w:left="140"/>
              <w:spacing w:after="0"/>
              <w:rPr>
                <w:sz w:val="20"/>
                <w:szCs w:val="20"/>
                <w:color w:val="auto"/>
              </w:rPr>
            </w:pPr>
            <w:r>
              <w:rPr>
                <w:rFonts w:ascii="Arial" w:cs="Arial" w:eastAsia="Arial" w:hAnsi="Arial"/>
                <w:sz w:val="18"/>
                <w:szCs w:val="18"/>
                <w:color w:val="auto"/>
              </w:rPr>
              <w:t>T&amp;D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32,764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23,838</w:t>
            </w:r>
          </w:p>
        </w:tc>
        <w:tc>
          <w:tcPr>
            <w:tcW w:w="2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61,437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41,802</w:t>
            </w:r>
          </w:p>
        </w:tc>
      </w:tr>
      <w:tr>
        <w:trPr>
          <w:trHeight w:val="27"/>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C&amp;I</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18,270</w:t>
            </w:r>
          </w:p>
        </w:tc>
      </w:tr>
      <w:tr>
        <w:trPr>
          <w:trHeight w:val="243"/>
        </w:trPr>
        <w:tc>
          <w:tcPr>
            <w:tcW w:w="5360" w:type="dxa"/>
            <w:vAlign w:val="bottom"/>
            <w:gridSpan w:val="2"/>
          </w:tcPr>
          <w:p>
            <w:pPr>
              <w:ind w:left="140"/>
              <w:spacing w:after="0"/>
              <w:rPr>
                <w:sz w:val="20"/>
                <w:szCs w:val="20"/>
                <w:color w:val="auto"/>
              </w:rPr>
            </w:pPr>
            <w:r>
              <w:rPr>
                <w:rFonts w:ascii="Arial" w:cs="Arial" w:eastAsia="Arial" w:hAnsi="Arial"/>
                <w:sz w:val="18"/>
                <w:szCs w:val="18"/>
                <w:color w:val="auto"/>
              </w:rPr>
              <w:t>General Corporate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(13,454)</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(24,322)</w:t>
            </w:r>
          </w:p>
        </w:tc>
      </w:tr>
      <w:tr>
        <w:trPr>
          <w:trHeight w:val="27"/>
        </w:trPr>
        <w:tc>
          <w:tcPr>
            <w:tcW w:w="5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5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29,665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19,342</w:t>
            </w:r>
          </w:p>
        </w:tc>
        <w:tc>
          <w:tcPr>
            <w:tcW w:w="2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57,076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35,750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Company computes earnings per share using the treasury stock method. Under the treasury stock method, basic earnings per share are computed by dividing net income available to stockholders by the weighted average number of common shares outstanding during the period, and diluted earnings per share are computed by dividing net income available to stockholders by the weighted average number of common shares outstanding during the period plus all potentially dilutive common stock equivalents, except in cases where the effect of the common stock equivalent would be anti-dilutive.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income and the weighted average number of common shares used to compute basic and diluted earnings per share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1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6"/>
        </w:trPr>
        <w:tc>
          <w:tcPr>
            <w:tcW w:w="5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21,219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13,385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41,147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23,317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Weighted average dilutive securities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diluted</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17,093</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 the three and six months ended June 30, 2021 and 2020,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unvested time-vested stock awards were included in the computation of weighted average dilutive securities.</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summarizes the shares of common stock underlying the Company’s unvested time-vested stock awards and performance awards that were excluded from the calculation of dilutive securities: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1"/>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Six months ended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60" w:type="dxa"/>
            <w:vAlign w:val="bottom"/>
            <w:gridSpan w:val="2"/>
            <w:vMerge w:val="continue"/>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14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ind w:right="416"/>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5"/>
        </w:trPr>
        <w:tc>
          <w:tcPr>
            <w:tcW w:w="5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Time-vested stock awards</w:t>
            </w:r>
          </w:p>
        </w:tc>
        <w:tc>
          <w:tcPr>
            <w:tcW w:w="940" w:type="dxa"/>
            <w:vAlign w:val="bottom"/>
            <w:shd w:val="clear" w:color="auto" w:fill="CCEEFF"/>
          </w:tcPr>
          <w:p>
            <w:pPr>
              <w:spacing w:after="0"/>
              <w:rPr>
                <w:sz w:val="23"/>
                <w:szCs w:val="23"/>
                <w:color w:val="auto"/>
              </w:rPr>
            </w:pPr>
          </w:p>
        </w:tc>
        <w:tc>
          <w:tcPr>
            <w:tcW w:w="1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Performance awards</w:t>
            </w:r>
          </w:p>
        </w:tc>
        <w:tc>
          <w:tcPr>
            <w:tcW w:w="940" w:type="dxa"/>
            <w:vAlign w:val="bottom"/>
          </w:tcPr>
          <w:p>
            <w:pPr>
              <w:spacing w:after="0"/>
              <w:rPr>
                <w:sz w:val="23"/>
                <w:szCs w:val="23"/>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July 2, 2021, the Company prepaid its $3.8 million Equipment Note 9 using cash on hand. This prepayment included an insignificant amount of accrued interest and there was no associated prepayment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the accompanying unaudited consolidated financial statements and with our Annual Report on Form 10-K for the year ended December 31, 2020 (the “2020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2020 Annual Report. We assume no obligation to update any of these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189"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We are a holding company of specialty electrical construction service providers that was established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22" w:lineRule="exact"/>
        <w:rPr>
          <w:sz w:val="20"/>
          <w:szCs w:val="20"/>
          <w:color w:val="auto"/>
        </w:rPr>
      </w:pPr>
    </w:p>
    <w:p>
      <w:pPr>
        <w:jc w:val="both"/>
        <w:ind w:right="100" w:firstLine="648"/>
        <w:spacing w:after="0" w:line="301" w:lineRule="auto"/>
        <w:rPr>
          <w:sz w:val="20"/>
          <w:szCs w:val="20"/>
          <w:color w:val="auto"/>
        </w:rPr>
      </w:pPr>
      <w:r>
        <w:rPr>
          <w:rFonts w:ascii="Arial" w:cs="Arial" w:eastAsia="Arial" w:hAnsi="Arial"/>
          <w:sz w:val="16"/>
          <w:szCs w:val="16"/>
          <w:color w:val="auto"/>
        </w:rPr>
        <w:t>We have operated in the transmission and distribution industry since 1891. We are one of the largest U.S. contractors servicing the T&amp;D sector of the electric utility industry and provide T&amp;D services throughout the United States and western Canada. Our T&amp;D customers include many of the leading companies in the electric utility industry. We have also provided electrical contracting services for commercial and industrial construction since 1912. Our C&amp;I segment provides services in the United States and in western Canada. Our C&amp;I customers include facility owners and general contractors.</w:t>
      </w:r>
    </w:p>
    <w:p>
      <w:pPr>
        <w:spacing w:after="0" w:line="11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08" w:lineRule="exact"/>
        <w:rPr>
          <w:sz w:val="20"/>
          <w:szCs w:val="20"/>
          <w:color w:val="auto"/>
        </w:rPr>
      </w:pPr>
    </w:p>
    <w:p>
      <w:pPr>
        <w:ind w:right="180" w:firstLine="648"/>
        <w:spacing w:after="0" w:line="241" w:lineRule="auto"/>
        <w:rPr>
          <w:sz w:val="20"/>
          <w:szCs w:val="20"/>
          <w:color w:val="auto"/>
        </w:rPr>
      </w:pPr>
      <w:r>
        <w:rPr>
          <w:rFonts w:ascii="Arial" w:cs="Arial" w:eastAsia="Arial" w:hAnsi="Arial"/>
          <w:sz w:val="18"/>
          <w:szCs w:val="18"/>
          <w:color w:val="auto"/>
        </w:rPr>
        <w:t>We believe proposed legislative actions aimed at supporting infrastructure improvements in the United States may positively impact long-term demand, particularly in connection with electric power infrastructure, transportation and renewable energy spending. We believe the proposed legislative actions are likely to provide greater opportunity in both of our reporting segments. However due to the market disruption associated with the COVID-19 pandemic and market uncertainty, both of our segments may be subject to pricing volatility and materials availability delays which could contribute to an overall deceleration in project opportunities and awards.</w:t>
      </w:r>
    </w:p>
    <w:p>
      <w:pPr>
        <w:spacing w:after="0" w:line="162" w:lineRule="exact"/>
        <w:rPr>
          <w:sz w:val="20"/>
          <w:szCs w:val="20"/>
          <w:color w:val="auto"/>
        </w:rPr>
      </w:pPr>
    </w:p>
    <w:p>
      <w:pPr>
        <w:ind w:right="260" w:firstLine="648"/>
        <w:spacing w:after="0" w:line="227" w:lineRule="auto"/>
        <w:rPr>
          <w:sz w:val="20"/>
          <w:szCs w:val="20"/>
          <w:color w:val="auto"/>
        </w:rPr>
      </w:pPr>
      <w:r>
        <w:rPr>
          <w:rFonts w:ascii="Arial" w:cs="Arial" w:eastAsia="Arial" w:hAnsi="Arial"/>
          <w:sz w:val="18"/>
          <w:szCs w:val="18"/>
          <w:color w:val="auto"/>
        </w:rPr>
        <w:t>We had consolidated revenues for the six months ended June 30, 2021 of $1.24 billion, of which 51.7% was attributable to our T&amp;D customers and 48.3% was attributable to our C&amp;I customers. Our consolidated revenues for the six months ended June 30, 2020 were $1.03 billion. For the six months ended June 30, 2021, our net income and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were $41.1 million and $80.5 million, respectively, compared to $23.3 million and $58.9 million, respectively, for the six months ended June 30, 2020.</w:t>
      </w:r>
    </w:p>
    <w:p>
      <w:pPr>
        <w:spacing w:after="0" w:line="148"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We believe there is an ongoing need for utilities to sustain investment in their transmission systems to improve reliability, reduce congestion and connect to new sources of renewable generation. Consequently, we anticipate that we will continue to see significant bidding activity on large transmission projects going forward. The timing of multi-year transmission project awards and substantial construction activity is difficult to predict due to regulatory requirements and the permitting needed to commence construction. Significant construction on any large, multi-year projects awarded in the remainder of 2021 will not likely occur until 2022. Bidding and construction activity for small to medium-size transmission projects and upgrades remain active, and we expect this trend to continue, primarily due to reliability and economic drivers.</w:t>
      </w:r>
    </w:p>
    <w:p>
      <w:pPr>
        <w:spacing w:after="0" w:line="13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As a result of reduced spending by United States utilities on their distribution systems for several years, we believe there is a need for sustained investment by utilities in their distribution systems to properly maintain or meet reliability requirements. In 2021, we continue to see increased bidding activity in some of our electric distribution markets, as economic conditions improved in those areas. We believe the increased hurricane activity over the past several years and recent destruction caused by wildfires will cause a push to strengthen utility distribution systems against catastrophic damage.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with further economic recovery, which may result in an increase in outsourcing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14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0"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EBITDA is a non-GAAP measure. Refer to “Non-GAAP Measure—EBITDA” for a discussion of this measure.</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66"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We expect C&amp;I bidding opportunities to continue to be impacted by various recent market disruptions, and as a result the ultimate recovery of the C&amp;I market will be heavily dependent on the timing and pace of the United States and Canada economic recoveries. We believe that the primary markets we serve may be somewhat less vulnerable to economic slowing, such as health care, transportation, data centers, warehousing, renewable energy and water projects. We are hopeful that the service industry and small project market could quickly rebound as pent-up demand will need to be addressed.</w:t>
      </w:r>
    </w:p>
    <w:p>
      <w:pPr>
        <w:spacing w:after="0" w:line="13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addition, the United States has experienced a decade of economic expansion which has challenged the capacity of public water and transportation infrastructure forcing states and municipalities to seek creative means to fund needed expansion. We believe the need for expanding public infrastructure will offer opportunity in our C&amp;I segment for several years. We expect the long-term growth in our C&amp;I segment to generally track the economic growth of the regions we serve.</w:t>
      </w:r>
    </w:p>
    <w:p>
      <w:pPr>
        <w:spacing w:after="0" w:line="14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strive to maintain our status as a preferred provider to our T&amp;D and C&amp;I customers. In an effort to support our growth strategy and maximize stockholder returns, we seek to efficiently manage our capital. We continue to implement strategies that further expand our capabilities and allow opportunities to provide prudent capital returns. We ended the second quarter of 2021 with $362.7 million available under our credit facility. We believe that our financial position, positive cash flows and other operational strengths will enable us to manage the challenges and uncertainties in the markets we serve and give us the flexibility to successfully execute our strategies. We continue to invest in developing key management and craft personnel in both our T&amp;D and C&amp;I markets and in procuring the specific specialty equipment and tooling needed to win and execute projects of all sizes and complexity.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spacing w:after="0" w:line="16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6–Revenue Recognition in the accompanying notes to our Consolidated Financial Statements.</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backlog was $1.57 billion at June 30, 2021, compared to $1.65 billion at December 31, 2020 and $1.55 billion at June 30, 2020. Our backlog at June 30, 2021 decreased 4.7% from March 31, 2021. Backlog in the T&amp;D segment decreased $59.4 million and C&amp;I backlog decreased $17.2 million compared to March 31, 2021. Our backlog as of June 30, 2021 included our proportionate share of joint venture backlog totaling $15.2 million, compared to $19.2 million at March 31, 2021.</w:t>
      </w:r>
    </w:p>
    <w:p>
      <w:pPr>
        <w:spacing w:after="0" w:line="18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summarizes that amount of our backlog that we believe to be firm as of the dates shown and the amount of our current backlog that we reasonably estimate will not be recognized within the next twelve months: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40" w:type="dxa"/>
            <w:vAlign w:val="bottom"/>
            <w:gridSpan w:val="5"/>
          </w:tcPr>
          <w:p>
            <w:pPr>
              <w:ind w:left="860"/>
              <w:spacing w:after="0"/>
              <w:rPr>
                <w:sz w:val="20"/>
                <w:szCs w:val="20"/>
                <w:color w:val="auto"/>
              </w:rPr>
            </w:pPr>
            <w:r>
              <w:rPr>
                <w:rFonts w:ascii="Arial" w:cs="Arial" w:eastAsia="Arial" w:hAnsi="Arial"/>
                <w:sz w:val="14"/>
                <w:szCs w:val="14"/>
                <w:b w:val="1"/>
                <w:bCs w:val="1"/>
                <w:color w:val="auto"/>
              </w:rPr>
              <w:t>Backlog at June 30, 2021</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tcBorders>
          </w:tcPr>
          <w:p>
            <w:pPr>
              <w:spacing w:after="0"/>
              <w:rPr>
                <w:sz w:val="11"/>
                <w:szCs w:val="11"/>
                <w:color w:val="auto"/>
              </w:rPr>
            </w:pPr>
          </w:p>
        </w:tc>
        <w:tc>
          <w:tcPr>
            <w:tcW w:w="2260" w:type="dxa"/>
            <w:vAlign w:val="bottom"/>
            <w:tcBorders>
              <w:top w:val="single" w:sz="8" w:color="auto"/>
            </w:tcBorders>
          </w:tcPr>
          <w:p>
            <w:pPr>
              <w:jc w:val="center"/>
              <w:ind w:right="97"/>
              <w:spacing w:after="0" w:line="135" w:lineRule="exact"/>
              <w:rPr>
                <w:sz w:val="20"/>
                <w:szCs w:val="20"/>
                <w:color w:val="auto"/>
              </w:rPr>
            </w:pPr>
            <w:r>
              <w:rPr>
                <w:rFonts w:ascii="Arial" w:cs="Arial" w:eastAsia="Arial" w:hAnsi="Arial"/>
                <w:sz w:val="14"/>
                <w:szCs w:val="14"/>
                <w:b w:val="1"/>
                <w:bCs w:val="1"/>
                <w:color w:val="auto"/>
                <w:w w:val="92"/>
              </w:rPr>
              <w:t>Amount estimated to not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right"/>
              <w:ind w:right="217"/>
              <w:spacing w:after="0" w:line="135" w:lineRule="exact"/>
              <w:rPr>
                <w:sz w:val="20"/>
                <w:szCs w:val="20"/>
                <w:color w:val="auto"/>
              </w:rPr>
            </w:pPr>
            <w:r>
              <w:rPr>
                <w:rFonts w:ascii="Arial" w:cs="Arial" w:eastAsia="Arial" w:hAnsi="Arial"/>
                <w:sz w:val="14"/>
                <w:szCs w:val="14"/>
                <w:b w:val="1"/>
                <w:bCs w:val="1"/>
                <w:color w:val="auto"/>
              </w:rPr>
              <w:t>Total backlog at</w:t>
            </w:r>
          </w:p>
        </w:tc>
        <w:tc>
          <w:tcPr>
            <w:tcW w:w="0" w:type="dxa"/>
            <w:vAlign w:val="bottom"/>
          </w:tcPr>
          <w:p>
            <w:pPr>
              <w:spacing w:after="0"/>
              <w:rPr>
                <w:sz w:val="1"/>
                <w:szCs w:val="1"/>
                <w:color w:val="auto"/>
              </w:rPr>
            </w:pPr>
          </w:p>
        </w:tc>
      </w:tr>
      <w:tr>
        <w:trPr>
          <w:trHeight w:val="188"/>
        </w:trPr>
        <w:tc>
          <w:tcPr>
            <w:tcW w:w="57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be recognized within 12 months</w:t>
            </w:r>
          </w:p>
        </w:tc>
        <w:tc>
          <w:tcPr>
            <w:tcW w:w="160" w:type="dxa"/>
            <w:vAlign w:val="bottom"/>
          </w:tcPr>
          <w:p>
            <w:pPr>
              <w:spacing w:after="0"/>
              <w:rPr>
                <w:sz w:val="16"/>
                <w:szCs w:val="16"/>
                <w:color w:val="auto"/>
              </w:rPr>
            </w:pPr>
          </w:p>
        </w:tc>
        <w:tc>
          <w:tcPr>
            <w:tcW w:w="1420" w:type="dxa"/>
            <w:vAlign w:val="bottom"/>
          </w:tcPr>
          <w:p>
            <w:pPr>
              <w:jc w:val="right"/>
              <w:ind w:right="117"/>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97"/>
        </w:trPr>
        <w:tc>
          <w:tcPr>
            <w:tcW w:w="5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T&amp;D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753,932</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rPr>
              <w:t>C&amp;I</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931,642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895,524</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1,649,456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Bonding Requirements and Parent Guarantees</w:t>
      </w:r>
    </w:p>
    <w:p>
      <w:pPr>
        <w:spacing w:after="0" w:line="229"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A substantial portion of our business requires performance and payment bonds or other means of financial assurance to secure contractual performance. These bonds are typically issued at the face value of the contract awarded. If we fail to perform or pay our subcontractors or vendors, the customer may demand that the surety provide services or make payments under the bond. In such a case, we would likely be required to reimburse the surety for any expenses or outlays it incurs. To date, we have not been required to make any reimbursements to our sureties for claims against our surety bonds. As of June 30, 2021, we had approximately $1.30 billion in original face amount of surety bonds outstanding. Our estimated remaining cost to complete these bonded projects was approximately $605.4 million as of June 30, 2021.</w:t>
      </w:r>
    </w:p>
    <w:p>
      <w:pPr>
        <w:spacing w:after="0" w:line="16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sets forth selected consolidated statements of operations data and such data as a percentage of revenues for the periods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6"/>
          </w:tcPr>
          <w:p>
            <w:pPr>
              <w:jc w:val="right"/>
              <w:ind w:right="620"/>
              <w:spacing w:after="0"/>
              <w:rPr>
                <w:sz w:val="20"/>
                <w:szCs w:val="20"/>
                <w:color w:val="auto"/>
              </w:rPr>
            </w:pPr>
            <w:r>
              <w:rPr>
                <w:rFonts w:ascii="Arial" w:cs="Arial" w:eastAsia="Arial" w:hAnsi="Arial"/>
                <w:sz w:val="13"/>
                <w:szCs w:val="13"/>
                <w:b w:val="1"/>
                <w:bCs w:val="1"/>
                <w:color w:val="auto"/>
              </w:rPr>
              <w:t>Three months ended</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6"/>
          </w:tcPr>
          <w:p>
            <w:pPr>
              <w:jc w:val="center"/>
              <w:ind w:right="400"/>
              <w:spacing w:after="0"/>
              <w:rPr>
                <w:sz w:val="20"/>
                <w:szCs w:val="20"/>
                <w:color w:val="auto"/>
              </w:rPr>
            </w:pPr>
            <w:r>
              <w:rPr>
                <w:rFonts w:ascii="Arial" w:cs="Arial" w:eastAsia="Arial" w:hAnsi="Arial"/>
                <w:sz w:val="13"/>
                <w:szCs w:val="13"/>
                <w:b w:val="1"/>
                <w:bCs w:val="1"/>
                <w:color w:val="auto"/>
                <w:w w:val="85"/>
              </w:rPr>
              <w:t>Six months ended</w:t>
            </w:r>
          </w:p>
        </w:tc>
        <w:tc>
          <w:tcPr>
            <w:tcW w:w="740" w:type="dxa"/>
            <w:vAlign w:val="bottom"/>
          </w:tcPr>
          <w:p>
            <w:pPr>
              <w:spacing w:after="0"/>
              <w:rPr>
                <w:sz w:val="13"/>
                <w:szCs w:val="13"/>
                <w:color w:val="auto"/>
              </w:rPr>
            </w:pPr>
          </w:p>
        </w:tc>
      </w:tr>
      <w:tr>
        <w:trPr>
          <w:trHeight w:val="164"/>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left="497"/>
              <w:spacing w:after="0"/>
              <w:rPr>
                <w:sz w:val="20"/>
                <w:szCs w:val="20"/>
                <w:color w:val="auto"/>
              </w:rPr>
            </w:pPr>
            <w:r>
              <w:rPr>
                <w:rFonts w:ascii="Arial" w:cs="Arial" w:eastAsia="Arial" w:hAnsi="Arial"/>
                <w:sz w:val="13"/>
                <w:szCs w:val="13"/>
                <w:b w:val="1"/>
                <w:bCs w:val="1"/>
                <w:color w:val="auto"/>
                <w:w w:val="84"/>
              </w:rPr>
              <w:t>June 30,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9"/>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7"/>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2021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2020</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2021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2020</w:t>
            </w:r>
          </w:p>
        </w:tc>
        <w:tc>
          <w:tcPr>
            <w:tcW w:w="740" w:type="dxa"/>
            <w:vAlign w:val="bottom"/>
          </w:tcPr>
          <w:p>
            <w:pPr>
              <w:spacing w:after="0"/>
              <w:rPr>
                <w:sz w:val="14"/>
                <w:szCs w:val="14"/>
                <w:color w:val="auto"/>
              </w:rPr>
            </w:pPr>
          </w:p>
        </w:tc>
      </w:tr>
      <w:tr>
        <w:trPr>
          <w:trHeight w:val="29"/>
        </w:trPr>
        <w:tc>
          <w:tcPr>
            <w:tcW w:w="342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7"/>
        </w:trPr>
        <w:tc>
          <w:tcPr>
            <w:tcW w:w="3420" w:type="dxa"/>
            <w:vAlign w:val="bottom"/>
            <w:gridSpan w:val="2"/>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14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w w:val="97"/>
              </w:rPr>
              <w:t>Amount</w:t>
            </w: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Percent</w:t>
            </w:r>
          </w:p>
        </w:tc>
        <w:tc>
          <w:tcPr>
            <w:tcW w:w="180" w:type="dxa"/>
            <w:vAlign w:val="bottom"/>
          </w:tcPr>
          <w:p>
            <w:pPr>
              <w:spacing w:after="0"/>
              <w:rPr>
                <w:sz w:val="14"/>
                <w:szCs w:val="14"/>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w w:val="89"/>
              </w:rPr>
              <w:t>Amount</w:t>
            </w: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rPr>
              <w:t>Percent</w:t>
            </w:r>
          </w:p>
        </w:tc>
        <w:tc>
          <w:tcPr>
            <w:tcW w:w="140" w:type="dxa"/>
            <w:vAlign w:val="bottom"/>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3"/>
                <w:szCs w:val="13"/>
                <w:b w:val="1"/>
                <w:bCs w:val="1"/>
                <w:color w:val="auto"/>
                <w:w w:val="97"/>
              </w:rPr>
              <w:t>Amount</w:t>
            </w: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Percent</w:t>
            </w:r>
          </w:p>
        </w:tc>
        <w:tc>
          <w:tcPr>
            <w:tcW w:w="200" w:type="dxa"/>
            <w:vAlign w:val="bottom"/>
          </w:tcPr>
          <w:p>
            <w:pPr>
              <w:spacing w:after="0"/>
              <w:rPr>
                <w:sz w:val="14"/>
                <w:szCs w:val="14"/>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3"/>
                <w:szCs w:val="13"/>
                <w:b w:val="1"/>
                <w:bCs w:val="1"/>
                <w:color w:val="auto"/>
                <w:w w:val="89"/>
              </w:rPr>
              <w:t>Amount</w:t>
            </w:r>
          </w:p>
        </w:tc>
        <w:tc>
          <w:tcPr>
            <w:tcW w:w="740" w:type="dxa"/>
            <w:vAlign w:val="bottom"/>
          </w:tcPr>
          <w:p>
            <w:pPr>
              <w:jc w:val="right"/>
              <w:ind w:right="197"/>
              <w:spacing w:after="0"/>
              <w:rPr>
                <w:sz w:val="20"/>
                <w:szCs w:val="20"/>
                <w:color w:val="auto"/>
              </w:rPr>
            </w:pPr>
            <w:r>
              <w:rPr>
                <w:rFonts w:ascii="Arial" w:cs="Arial" w:eastAsia="Arial" w:hAnsi="Arial"/>
                <w:sz w:val="13"/>
                <w:szCs w:val="13"/>
                <w:b w:val="1"/>
                <w:bCs w:val="1"/>
                <w:color w:val="auto"/>
                <w:w w:val="96"/>
              </w:rPr>
              <w:t>Percent</w:t>
            </w:r>
          </w:p>
        </w:tc>
      </w:tr>
      <w:tr>
        <w:trPr>
          <w:trHeight w:val="29"/>
        </w:trPr>
        <w:tc>
          <w:tcPr>
            <w:tcW w:w="3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3"/>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Contract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649,573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513,051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1,242,059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ind w:right="117"/>
              <w:spacing w:after="0"/>
              <w:rPr>
                <w:sz w:val="20"/>
                <w:szCs w:val="20"/>
                <w:color w:val="auto"/>
              </w:rPr>
            </w:pPr>
            <w:r>
              <w:rPr>
                <w:rFonts w:ascii="Arial" w:cs="Arial" w:eastAsia="Arial" w:hAnsi="Arial"/>
                <w:sz w:val="13"/>
                <w:szCs w:val="13"/>
                <w:color w:val="auto"/>
                <w:w w:val="90"/>
              </w:rPr>
              <w:t>100.0%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1,031,521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r>
      <w:tr>
        <w:trPr>
          <w:trHeight w:val="173"/>
        </w:trPr>
        <w:tc>
          <w:tcPr>
            <w:tcW w:w="3420" w:type="dxa"/>
            <w:vAlign w:val="bottom"/>
            <w:gridSpan w:val="2"/>
          </w:tcPr>
          <w:p>
            <w:pPr>
              <w:ind w:left="20"/>
              <w:spacing w:after="0"/>
              <w:rPr>
                <w:sz w:val="20"/>
                <w:szCs w:val="20"/>
                <w:color w:val="auto"/>
              </w:rPr>
            </w:pPr>
            <w:r>
              <w:rPr>
                <w:rFonts w:ascii="Arial" w:cs="Arial" w:eastAsia="Arial" w:hAnsi="Arial"/>
                <w:sz w:val="13"/>
                <w:szCs w:val="13"/>
                <w:color w:val="auto"/>
              </w:rPr>
              <w:t>Contract costs</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568,551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87.5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451,746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88.1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1,084,084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center"/>
              <w:ind w:right="137"/>
              <w:spacing w:after="0"/>
              <w:rPr>
                <w:sz w:val="20"/>
                <w:szCs w:val="20"/>
                <w:color w:val="auto"/>
              </w:rPr>
            </w:pPr>
            <w:r>
              <w:rPr>
                <w:rFonts w:ascii="Arial" w:cs="Arial" w:eastAsia="Arial" w:hAnsi="Arial"/>
                <w:sz w:val="13"/>
                <w:szCs w:val="13"/>
                <w:color w:val="auto"/>
                <w:w w:val="86"/>
              </w:rPr>
              <w:t>87.3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908,584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88.1</w:t>
            </w:r>
          </w:p>
        </w:tc>
      </w:tr>
      <w:tr>
        <w:trPr>
          <w:trHeight w:val="29"/>
        </w:trPr>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6"/>
        </w:trPr>
        <w:tc>
          <w:tcPr>
            <w:tcW w:w="34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Gross profit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81,022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12.5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61,305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11.9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157,975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ind w:right="137"/>
              <w:spacing w:after="0"/>
              <w:rPr>
                <w:sz w:val="20"/>
                <w:szCs w:val="20"/>
                <w:color w:val="auto"/>
              </w:rPr>
            </w:pPr>
            <w:r>
              <w:rPr>
                <w:rFonts w:ascii="Arial" w:cs="Arial" w:eastAsia="Arial" w:hAnsi="Arial"/>
                <w:sz w:val="13"/>
                <w:szCs w:val="13"/>
                <w:color w:val="auto"/>
                <w:w w:val="86"/>
              </w:rPr>
              <w:t>12.7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122,937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11.9</w:t>
            </w:r>
          </w:p>
        </w:tc>
      </w:tr>
      <w:tr>
        <w:trPr>
          <w:trHeight w:val="173"/>
        </w:trPr>
        <w:tc>
          <w:tcPr>
            <w:tcW w:w="3420" w:type="dxa"/>
            <w:vAlign w:val="bottom"/>
            <w:gridSpan w:val="2"/>
          </w:tcPr>
          <w:p>
            <w:pPr>
              <w:ind w:left="20"/>
              <w:spacing w:after="0"/>
              <w:rPr>
                <w:sz w:val="20"/>
                <w:szCs w:val="20"/>
                <w:color w:val="auto"/>
              </w:rPr>
            </w:pPr>
            <w:r>
              <w:rPr>
                <w:rFonts w:ascii="Arial" w:cs="Arial" w:eastAsia="Arial" w:hAnsi="Arial"/>
                <w:sz w:val="13"/>
                <w:szCs w:val="13"/>
                <w:color w:val="auto"/>
              </w:rPr>
              <w:t>Selling, general and</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0"/>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2"/>
        </w:trPr>
        <w:tc>
          <w:tcPr>
            <w:tcW w:w="3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administrative expenses</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51,890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8.0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41,199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8.0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101,537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ind w:right="117"/>
              <w:spacing w:after="0"/>
              <w:rPr>
                <w:sz w:val="20"/>
                <w:szCs w:val="20"/>
                <w:color w:val="auto"/>
              </w:rPr>
            </w:pPr>
            <w:r>
              <w:rPr>
                <w:rFonts w:ascii="Arial" w:cs="Arial" w:eastAsia="Arial" w:hAnsi="Arial"/>
                <w:sz w:val="13"/>
                <w:szCs w:val="13"/>
                <w:color w:val="auto"/>
                <w:w w:val="88"/>
              </w:rPr>
              <w:t>8.1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86,245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8.4</w:t>
            </w:r>
          </w:p>
        </w:tc>
      </w:tr>
      <w:tr>
        <w:trPr>
          <w:trHeight w:val="173"/>
        </w:trPr>
        <w:tc>
          <w:tcPr>
            <w:tcW w:w="3420" w:type="dxa"/>
            <w:vAlign w:val="bottom"/>
            <w:gridSpan w:val="2"/>
          </w:tcPr>
          <w:p>
            <w:pPr>
              <w:ind w:left="20"/>
              <w:spacing w:after="0"/>
              <w:rPr>
                <w:sz w:val="20"/>
                <w:szCs w:val="20"/>
                <w:color w:val="auto"/>
              </w:rPr>
            </w:pPr>
            <w:r>
              <w:rPr>
                <w:rFonts w:ascii="Arial" w:cs="Arial" w:eastAsia="Arial" w:hAnsi="Arial"/>
                <w:sz w:val="13"/>
                <w:szCs w:val="13"/>
                <w:color w:val="auto"/>
              </w:rPr>
              <w:t>Amortization of intangible assets</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578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1,156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center"/>
              <w:ind w:right="117"/>
              <w:spacing w:after="0"/>
              <w:rPr>
                <w:sz w:val="20"/>
                <w:szCs w:val="20"/>
                <w:color w:val="auto"/>
              </w:rPr>
            </w:pPr>
            <w:r>
              <w:rPr>
                <w:rFonts w:ascii="Arial" w:cs="Arial" w:eastAsia="Arial" w:hAnsi="Arial"/>
                <w:sz w:val="13"/>
                <w:szCs w:val="13"/>
                <w:color w:val="auto"/>
                <w:w w:val="88"/>
              </w:rPr>
              <w:t>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0.2</w:t>
            </w:r>
          </w:p>
        </w:tc>
      </w:tr>
      <w:tr>
        <w:trPr>
          <w:trHeight w:val="30"/>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Gain on sale of property and equipment</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(0.2)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(1,794)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center"/>
              <w:ind w:right="117"/>
              <w:spacing w:after="0"/>
              <w:rPr>
                <w:sz w:val="20"/>
                <w:szCs w:val="20"/>
                <w:color w:val="auto"/>
              </w:rPr>
            </w:pPr>
            <w:r>
              <w:rPr>
                <w:rFonts w:ascii="Arial" w:cs="Arial" w:eastAsia="Arial" w:hAnsi="Arial"/>
                <w:sz w:val="13"/>
                <w:szCs w:val="13"/>
                <w:color w:val="auto"/>
                <w:w w:val="89"/>
              </w:rPr>
              <w:t>(0.1)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(1,489)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(0.2)</w:t>
            </w:r>
          </w:p>
        </w:tc>
      </w:tr>
      <w:tr>
        <w:trPr>
          <w:trHeight w:val="167"/>
        </w:trPr>
        <w:tc>
          <w:tcPr>
            <w:tcW w:w="3420" w:type="dxa"/>
            <w:vAlign w:val="bottom"/>
            <w:gridSpan w:val="2"/>
          </w:tcPr>
          <w:p>
            <w:pPr>
              <w:ind w:left="220"/>
              <w:spacing w:after="0"/>
              <w:rPr>
                <w:sz w:val="20"/>
                <w:szCs w:val="20"/>
                <w:color w:val="auto"/>
              </w:rPr>
            </w:pPr>
            <w:r>
              <w:rPr>
                <w:rFonts w:ascii="Arial" w:cs="Arial" w:eastAsia="Arial" w:hAnsi="Arial"/>
                <w:sz w:val="13"/>
                <w:szCs w:val="13"/>
                <w:color w:val="auto"/>
              </w:rPr>
              <w:t>Income from operations</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29,665</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19,342</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57,076</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center"/>
              <w:ind w:right="117"/>
              <w:spacing w:after="0"/>
              <w:rPr>
                <w:sz w:val="20"/>
                <w:szCs w:val="20"/>
                <w:color w:val="auto"/>
              </w:rPr>
            </w:pPr>
            <w:r>
              <w:rPr>
                <w:rFonts w:ascii="Arial" w:cs="Arial" w:eastAsia="Arial" w:hAnsi="Arial"/>
                <w:sz w:val="13"/>
                <w:szCs w:val="13"/>
                <w:color w:val="auto"/>
                <w:w w:val="88"/>
              </w:rPr>
              <w:t>4.6</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35,750</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3.5</w:t>
            </w:r>
          </w:p>
        </w:tc>
      </w:tr>
      <w:tr>
        <w:trPr>
          <w:trHeight w:val="30"/>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73"/>
        </w:trPr>
        <w:tc>
          <w:tcPr>
            <w:tcW w:w="3420" w:type="dxa"/>
            <w:vAlign w:val="bottom"/>
            <w:gridSpan w:val="2"/>
          </w:tcPr>
          <w:p>
            <w:pPr>
              <w:ind w:left="140"/>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r>
      <w:tr>
        <w:trPr>
          <w:trHeight w:val="30"/>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(1,315)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(0.3)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ind w:right="117"/>
              <w:spacing w:after="0"/>
              <w:rPr>
                <w:sz w:val="20"/>
                <w:szCs w:val="20"/>
                <w:color w:val="auto"/>
              </w:rPr>
            </w:pPr>
            <w:r>
              <w:rPr>
                <w:rFonts w:ascii="Arial" w:cs="Arial" w:eastAsia="Arial" w:hAnsi="Arial"/>
                <w:sz w:val="13"/>
                <w:szCs w:val="13"/>
                <w:color w:val="auto"/>
                <w:w w:val="89"/>
              </w:rPr>
              <w:t>(0.1)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(2,828)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(0.3)</w:t>
            </w:r>
          </w:p>
        </w:tc>
      </w:tr>
      <w:tr>
        <w:trPr>
          <w:trHeight w:val="173"/>
        </w:trPr>
        <w:tc>
          <w:tcPr>
            <w:tcW w:w="3420" w:type="dxa"/>
            <w:vAlign w:val="bottom"/>
            <w:gridSpan w:val="2"/>
          </w:tcPr>
          <w:p>
            <w:pPr>
              <w:ind w:left="140"/>
              <w:spacing w:after="0"/>
              <w:rPr>
                <w:sz w:val="20"/>
                <w:szCs w:val="20"/>
                <w:color w:val="auto"/>
              </w:rPr>
            </w:pPr>
            <w:r>
              <w:rPr>
                <w:rFonts w:ascii="Arial" w:cs="Arial" w:eastAsia="Arial" w:hAnsi="Arial"/>
                <w:sz w:val="13"/>
                <w:szCs w:val="13"/>
                <w:color w:val="auto"/>
              </w:rPr>
              <w:t>Other income (expense), net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(0.1)</w:t>
            </w:r>
          </w:p>
        </w:tc>
      </w:tr>
      <w:tr>
        <w:trPr>
          <w:trHeight w:val="30"/>
        </w:trPr>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6"/>
        </w:trPr>
        <w:tc>
          <w:tcPr>
            <w:tcW w:w="34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Income before provision for income taxes</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29,082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4.5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18,352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3.6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56,072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ind w:right="117"/>
              <w:spacing w:after="0"/>
              <w:rPr>
                <w:sz w:val="20"/>
                <w:szCs w:val="20"/>
                <w:color w:val="auto"/>
              </w:rPr>
            </w:pPr>
            <w:r>
              <w:rPr>
                <w:rFonts w:ascii="Arial" w:cs="Arial" w:eastAsia="Arial" w:hAnsi="Arial"/>
                <w:sz w:val="13"/>
                <w:szCs w:val="13"/>
                <w:color w:val="auto"/>
                <w:w w:val="88"/>
              </w:rPr>
              <w:t>4.5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32,354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3.1</w:t>
            </w:r>
          </w:p>
        </w:tc>
      </w:tr>
      <w:tr>
        <w:trPr>
          <w:trHeight w:val="173"/>
        </w:trPr>
        <w:tc>
          <w:tcPr>
            <w:tcW w:w="3420" w:type="dxa"/>
            <w:vAlign w:val="bottom"/>
            <w:gridSpan w:val="2"/>
          </w:tcPr>
          <w:p>
            <w:pPr>
              <w:ind w:left="20"/>
              <w:spacing w:after="0"/>
              <w:rPr>
                <w:sz w:val="20"/>
                <w:szCs w:val="20"/>
                <w:color w:val="auto"/>
              </w:rPr>
            </w:pPr>
            <w:r>
              <w:rPr>
                <w:rFonts w:ascii="Arial" w:cs="Arial" w:eastAsia="Arial" w:hAnsi="Arial"/>
                <w:sz w:val="13"/>
                <w:szCs w:val="13"/>
                <w:color w:val="auto"/>
              </w:rPr>
              <w:t>Income tax expense</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7,863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14,925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ind w:left="42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9,037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0.8</w:t>
            </w:r>
          </w:p>
        </w:tc>
      </w:tr>
      <w:tr>
        <w:trPr>
          <w:trHeight w:val="30"/>
        </w:trPr>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0"/>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21,219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13,385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2.6 %</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41,147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w w:val="90"/>
              </w:rPr>
              <w:t>3.3 %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23,317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2.3 %</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Compared to Three Months Ended June 30, 2020</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were $649.6 million for the three months ended June 30, 2021 compared to $513.1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2020. The increase of $136.5 million, or 26.6%, was primarily due to an increase in revenue on large-sized T&amp;D projects as well as an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revenue on various-sized C&amp;I projects. Additionally, revenues during the three months ended June 30, 2020 were negatively impacted by a slight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slowdown of C&amp;I work in certain geographic areas related to the COVID-19 pandemic.</w:t>
      </w:r>
    </w:p>
    <w:p>
      <w:pPr>
        <w:spacing w:after="0" w:line="15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was 12.5% for the three months ended June 30, 2021 compared to 11.9% for the three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gross margin was primarily due to better-than-anticipated productivity on certain projects and favorable job close-outs, partially offset by labor and equipment inefficiencies on certain projects. Changes in estimates of gross profit on certain projects resulted in a gross margin increases of 0.8% and 0.2% for the three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$81.0 million for the three months ended June 30, 2021 compared to $61.3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The increase of $19.7 million, or 32.2%, was due to higher revenues and margins.</w:t>
      </w:r>
    </w:p>
    <w:p>
      <w:pPr>
        <w:spacing w:after="0" w:line="116"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("SG&amp;A") were $51.9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2021 compared to $41.2 million for the three months ended June 30, 2020. The period-over-period increase of $10.7 million was primarily due to higher employee incentive compensation costs and contingent compensation expense related to prior acquisitions.</w:t>
      </w:r>
    </w:p>
    <w:p>
      <w:pPr>
        <w:spacing w:after="0" w:line="11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i w:val="1"/>
          <w:iCs w:val="1"/>
          <w:color w:val="auto"/>
        </w:rPr>
        <w:t>Gain on sale of property and equipment</w:t>
      </w:r>
      <w:r>
        <w:rPr>
          <w:rFonts w:ascii="Arial" w:cs="Arial" w:eastAsia="Arial" w:hAnsi="Arial"/>
          <w:sz w:val="18"/>
          <w:szCs w:val="18"/>
          <w:color w:val="auto"/>
        </w:rPr>
        <w:t>. Gains from the sale of property and equipment for the three months ended June 30, 2021 were $1.1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$0.4 million for the three months ended June 30, 2020. Gains from the sale of property and equipment are attributable to routine sales of property and equipment no longer useful or valuable to our ongoing operations.</w:t>
      </w:r>
    </w:p>
    <w:p>
      <w:pPr>
        <w:spacing w:after="0" w:line="13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$0.7 million for the three months ended June 30, 2021 compared to $1.3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The period-over-period decrease of $0.6 million was primarily due to the decrease in our outstanding debt during the three months ended June 30, 2021 as compared to the three months ended June 30, 2020, partially offset by a prepayment penalty from an early retirement of an equipment note during the three months ended June 30, 2021.</w:t>
      </w:r>
    </w:p>
    <w:p>
      <w:pPr>
        <w:spacing w:after="0" w:line="13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$7.9 million for the three months ended June 30, 2021, with an effective tax rate of 27.0%,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expense of $5.0 million for the three months ended June 30, 2020, with an effective tax rate of 27.1%. The decrease in the tax rate for the three months ended June 30, 2021 was primarily due to a favorable impact from stock compensation excess tax benefits, partially offset by excess tax expense pertaining to the impact of global intangible low tax income (“GILTI”).</w:t>
      </w:r>
    </w:p>
    <w:p>
      <w:pPr>
        <w:spacing w:after="0" w:line="13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$21.2 million for the three months ended June 30, 2021 compared to $13.4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The increase was primarily due to the reasons stated earlier.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3"/>
          </w:tcPr>
          <w:p>
            <w:pPr>
              <w:jc w:val="right"/>
              <w:ind w:right="1176"/>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5"/>
        </w:trPr>
        <w:tc>
          <w:tcPr>
            <w:tcW w:w="5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6"/>
                <w:szCs w:val="16"/>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
        </w:trPr>
        <w:tc>
          <w:tcPr>
            <w:tcW w:w="5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Contract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40"/>
              <w:spacing w:after="0"/>
              <w:rPr>
                <w:sz w:val="20"/>
                <w:szCs w:val="20"/>
                <w:color w:val="auto"/>
              </w:rPr>
            </w:pPr>
            <w:r>
              <w:rPr>
                <w:rFonts w:ascii="Arial" w:cs="Arial" w:eastAsia="Arial" w:hAnsi="Arial"/>
                <w:sz w:val="18"/>
                <w:szCs w:val="18"/>
                <w:color w:val="auto"/>
              </w:rPr>
              <w:t>Transmission &amp; Distribution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326,831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276,759</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53.9 %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236,292</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63"/>
        </w:trPr>
        <w:tc>
          <w:tcPr>
            <w:tcW w:w="55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649,573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513,051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40"/>
              <w:spacing w:after="0"/>
              <w:rPr>
                <w:sz w:val="20"/>
                <w:szCs w:val="20"/>
                <w:color w:val="auto"/>
              </w:rPr>
            </w:pPr>
            <w:r>
              <w:rPr>
                <w:rFonts w:ascii="Arial" w:cs="Arial" w:eastAsia="Arial" w:hAnsi="Arial"/>
                <w:sz w:val="18"/>
                <w:szCs w:val="18"/>
                <w:color w:val="auto"/>
              </w:rPr>
              <w:t>Transmission &amp; Distribution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32,764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23,838</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55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32,796</w:t>
            </w:r>
          </w:p>
        </w:tc>
        <w:tc>
          <w:tcPr>
            <w:tcW w:w="20" w:type="dxa"/>
            <w:vAlign w:val="bottom"/>
            <w:tcBorders>
              <w:top w:val="single" w:sz="8" w:color="auto"/>
            </w:tcBorders>
          </w:tcPr>
          <w:p>
            <w:pPr>
              <w:spacing w:after="0"/>
              <w:rPr>
                <w:sz w:val="20"/>
                <w:szCs w:val="20"/>
                <w:color w:val="auto"/>
              </w:rPr>
            </w:pPr>
          </w:p>
        </w:tc>
        <w:tc>
          <w:tcPr>
            <w:tcW w:w="1520" w:type="dxa"/>
            <w:vAlign w:val="bottom"/>
            <w:gridSpan w:val="2"/>
          </w:tcPr>
          <w:p>
            <w:pPr>
              <w:jc w:val="right"/>
              <w:ind w:right="136"/>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Corporate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(13,454)</w:t>
            </w:r>
          </w:p>
        </w:tc>
        <w:tc>
          <w:tcPr>
            <w:tcW w:w="1540" w:type="dxa"/>
            <w:vAlign w:val="bottom"/>
            <w:tcBorders>
              <w:bottom w:val="single" w:sz="8" w:color="CCEEFF"/>
            </w:tcBorders>
            <w:gridSpan w:val="3"/>
            <w:shd w:val="clear" w:color="auto" w:fill="CCEEFF"/>
          </w:tcPr>
          <w:p>
            <w:pPr>
              <w:jc w:val="right"/>
              <w:ind w:right="9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4"/>
        </w:trPr>
        <w:tc>
          <w:tcPr>
            <w:tcW w:w="554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Transmission &amp; Distribution</w:t>
      </w:r>
    </w:p>
    <w:p>
      <w:pPr>
        <w:spacing w:after="0" w:line="17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Revenues for our T&amp;D segment for the three months ended June 30, 2021 were $326.8 million compared to $276.8 million for the three months ended June 30, 2020, an increase of $50.0 million, or 18.1%. The increase in revenue was primarily related to an increase in revenue on two large-sized projects associated with accelerated schedule requirements at the beginning of a project and battery delivery and installation at the close-out of another. Revenues from transmission projects represented 64.5% and 65.5% of T&amp;D segment revenue for the three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Operating income for our T&amp;D segment for the three months ended June 30, 2021 was $32.8 million, an increase of $9.0 million, or 37.4%, from the three months ended June 30, 2020. The increase in T&amp;D operating income from the prior year was primarily due to higher revenues, favorable job close-outs and better-than-anticipated productivity on certain projects, partially offset by labor and equipment inefficiencies on certain projects. As a percentage of revenues, operating income for our T&amp;D segment was 10.0% for the three months ended June 30, 2021 compared to 8.6% for the three months ended June 30,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&amp; Industrial</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Revenues for our C&amp;I segment for the three months ended June 30, 2021 were $322.7 million compared to $236.3 million for the three months ended June 30, 2020, an increase of $86.4 million, or 36.6%, primarily due to an increase in revenue on various-sized projects and accelerated schedules on two projects. Additionally, revenues during the three months ended June 30, 2020 were negatively impacted by a slight slowdown of work in certain geographic areas related to the COVID-19 pandemic.</w:t>
      </w:r>
    </w:p>
    <w:p>
      <w:pPr>
        <w:spacing w:after="0" w:line="133"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Operating income for our C&amp;I segment for the three months ended June 30, 2021 was $14.5 million, an increase of $5.5 million, over the three months ended June 30, 2020. The period-over-period increase in operating income was due to higher revenues and better-than-anticipated productivity on certain projects. These increases were partially offset by labor and equipment inefficiencies on certain projects. As a percentage of revenues, operating income for our C&amp;I segment was 4.5% for the three months ended June 30, 2021 compared to 3.8% for the three months ended June 30,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Compared to Six Months Ended June 30, 2020</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were $1.24 billion for the six months ended June 30, 2021 compared to $1.03 billion for the six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of $210.6 million, or 20.4%, was primarily due to an increase in revenue on large-sized T&amp;D projects as well as an increase in revenue on various-sized C&amp;I projects. Additionally, revenues during the six months ended June 30, 2020 were negatively impacted by a slight slowdown of C&amp;I work in certain geographic areas related to the COVID-19 pandemic.</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was 12.7% for the six months ended June 30, 2021 compared to 11.9% for the six months ended June 30,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gross margin was primarily due to better-than-anticipated productivity on certain projects and favorable job close-outs. These improvements were partially offset by labor and equipment inefficiencies on certain projects, unfavorable pending change order adjustments on certain projects and inclement weather experienced on a project. Changes in estimates of gross profit on certain projects resulted in gross margin increase of 0.3% and decrease of 0.1% for the six months ended June 30, 2021 and 2020, respectively.</w:t>
      </w:r>
    </w:p>
    <w:p>
      <w:pPr>
        <w:spacing w:after="0" w:line="18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$158.0 million for the six months ended June 30, 2021 compared to $122.9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the increase of $35.1 million, or 28.5% was due to higher revenues and margins.</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was $101.5 million for the six months ended June 30, 2021 compared to $86.2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2020. The period-over-period increase of $15.3 million was primarily due to higher employee incentive compensation costs and contingent compensation expense related to prior acquisitions.</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for the six months ended June 30, 2021 were $1.8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$1.5 million for the six months ended June 30, 2020. Gains from the sale of property and equipment are attributable to routine sales of property and equipment no longer useful or valuable to our ongoing operations.</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$1.2 million for the six months ended June 30, 2021 compared to $2.8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This decrease was primarily attributable to a decrease in our outstanding debt during the six months ended June 30, 2021 as compared to the six months ended June 30, 2020, partially offset by a prepayment penalty from an early retirement of an equipment note during the six months ended June 30, 2021.</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$14.9 million for the six months ended June 30, 2021, with an effective tax rate of 26.6%,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expense of $9.0 million for the six months ended June 30, 2020, with an effective tax rate of 27.9%. The decrease in the tax rate for the six months ended June 30, 2021 was primarily due to a favorable impact from stock compensation excess tax benefits, partially offset by excess tax expense pertaining to the impact of GILTI.</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was $41.1 million for the six months ended June 30, 2021 compared to $23.3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increase was primarily due to the reasons stated earlier.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6"/>
                <w:szCs w:val="16"/>
                <w:color w:val="auto"/>
              </w:rPr>
            </w:pPr>
          </w:p>
        </w:tc>
        <w:tc>
          <w:tcPr>
            <w:tcW w:w="14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Amount</w:t>
            </w: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5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Contract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40"/>
              <w:spacing w:after="0"/>
              <w:rPr>
                <w:sz w:val="20"/>
                <w:szCs w:val="20"/>
                <w:color w:val="auto"/>
              </w:rPr>
            </w:pPr>
            <w:r>
              <w:rPr>
                <w:rFonts w:ascii="Arial" w:cs="Arial" w:eastAsia="Arial" w:hAnsi="Arial"/>
                <w:sz w:val="18"/>
                <w:szCs w:val="18"/>
                <w:color w:val="auto"/>
              </w:rPr>
              <w:t>Transmission &amp; Distribution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641,739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51.7 %</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536,029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52.0 %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Commercial &amp; 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600,320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495,492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63"/>
        </w:trPr>
        <w:tc>
          <w:tcPr>
            <w:tcW w:w="55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1,242,059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1,031,521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40"/>
              <w:spacing w:after="0"/>
              <w:rPr>
                <w:sz w:val="20"/>
                <w:szCs w:val="20"/>
                <w:color w:val="auto"/>
              </w:rPr>
            </w:pPr>
            <w:r>
              <w:rPr>
                <w:rFonts w:ascii="Arial" w:cs="Arial" w:eastAsia="Arial" w:hAnsi="Arial"/>
                <w:sz w:val="18"/>
                <w:szCs w:val="18"/>
                <w:color w:val="auto"/>
              </w:rPr>
              <w:t>Transmission &amp; Distribution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61,437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41,802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Commercial &amp; 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55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Corporate</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3"/>
        </w:trPr>
        <w:tc>
          <w:tcPr>
            <w:tcW w:w="552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57,076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35,750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Transmission &amp; Distribution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Revenues for our T&amp;D segment for the six months ended June 30, 2021 were $641.7 million compared to $536.0 million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2020, an increase of $105.7 million, or 19.7%. The increase in revenue was primarily related to an increase in revenue on large-sized projects.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Revenues from transmission projects represented 65.8% of T&amp;D segment revenue for each of the six months ended June 30, 2021 and 2020.</w:t>
      </w:r>
    </w:p>
    <w:p>
      <w:pPr>
        <w:spacing w:after="0" w:line="222"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Operating income for our T&amp;D segment for the six months ended June 30, 2021 was $61.4 million, an increase of $19.6 million, or 47.0%, from the six months ended June 30, 2020. The increase in T&amp;D operating income from the prior year was primarily due to higher revenues, favorable job close-outs and better-than-anticipated productivity on certain projects. These increases were partially offset by labor and equipment inefficiencies and inclement weather experienced on a project. As a percentage of revenues, operating income for our T&amp;D segment was 9.6% for the six months ended June 30, 2021 compared to 7.8% for the six months ended June 30,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&amp; Industrial</w:t>
      </w:r>
    </w:p>
    <w:p>
      <w:pPr>
        <w:spacing w:after="0" w:line="225"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Revenues for our C&amp;I segment for the six months ended June 30, 2021 were $600.3 million compared to $495.5 million for the six months ended June 30, 2020, an increase of $104.8 million, or 21.2%, primarily due an increase in revenues on various-sized projects. Additionally, revenues during the six months ended June 30, 2020 were negatively impacted by a slight slowdown of work in certain geographic areas related to the COVID-19 pandemic.</w:t>
      </w:r>
    </w:p>
    <w:p>
      <w:pPr>
        <w:spacing w:after="0" w:line="1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Operating income for our C&amp;I segment for the six months ended June 30, 2021 was $28.8 million, an increase of $10.5 million over the six months ended June 30, 2020. The period-over-period increase in operating income was primarily due to higher revenues and better-than-anticipated productivity on certain projects. These increases were partially offset by unfavorable change order adjustments on certain projects and labor and equipment inefficiencies on a project. As a percentage of revenues, operating income for our C&amp;I segment was 4.8% for the six months ended June 30, 2021 compared to 3.7% for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Measure—EBITDA</w:t>
      </w:r>
    </w:p>
    <w:p>
      <w:pPr>
        <w:spacing w:after="0" w:line="22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define EBITDA, a performance measure used by management, as net income plus net income from noncontrolling interest, interest expense net of interest income, provision for income taxes and depreciation and amortization. EBITDA, a non-GAAP financial measure,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168"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to EBITDA: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4"/>
                <w:szCs w:val="14"/>
                <w:color w:val="auto"/>
              </w:rPr>
            </w:pPr>
          </w:p>
        </w:tc>
        <w:tc>
          <w:tcPr>
            <w:tcW w:w="160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91"/>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1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
        </w:trPr>
        <w:tc>
          <w:tcPr>
            <w:tcW w:w="5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23,317</w:t>
            </w:r>
          </w:p>
        </w:tc>
        <w:tc>
          <w:tcPr>
            <w:tcW w:w="0" w:type="dxa"/>
            <w:vAlign w:val="bottom"/>
          </w:tcPr>
          <w:p>
            <w:pPr>
              <w:spacing w:after="0"/>
              <w:rPr>
                <w:sz w:val="1"/>
                <w:szCs w:val="1"/>
                <w:color w:val="auto"/>
              </w:rPr>
            </w:pPr>
          </w:p>
        </w:tc>
      </w:tr>
      <w:tr>
        <w:trPr>
          <w:trHeight w:val="243"/>
        </w:trPr>
        <w:tc>
          <w:tcPr>
            <w:tcW w:w="5760" w:type="dxa"/>
            <w:vAlign w:val="bottom"/>
            <w:gridSpan w:val="2"/>
          </w:tcPr>
          <w:p>
            <w:pPr>
              <w:ind w:left="140"/>
              <w:spacing w:after="0"/>
              <w:rPr>
                <w:sz w:val="20"/>
                <w:szCs w:val="20"/>
                <w:color w:val="auto"/>
              </w:rPr>
            </w:pPr>
            <w:r>
              <w:rPr>
                <w:rFonts w:ascii="Arial" w:cs="Arial" w:eastAsia="Arial" w:hAnsi="Arial"/>
                <w:sz w:val="18"/>
                <w:szCs w:val="18"/>
                <w:i w:val="1"/>
                <w:iCs w:val="1"/>
                <w:color w:val="auto"/>
              </w:rPr>
              <w:t>Add:</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9,037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&amp;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23,755</w:t>
            </w:r>
          </w:p>
        </w:tc>
        <w:tc>
          <w:tcPr>
            <w:tcW w:w="0" w:type="dxa"/>
            <w:vAlign w:val="bottom"/>
          </w:tcPr>
          <w:p>
            <w:pPr>
              <w:spacing w:after="0"/>
              <w:rPr>
                <w:sz w:val="1"/>
                <w:szCs w:val="1"/>
                <w:color w:val="auto"/>
              </w:rPr>
            </w:pPr>
          </w:p>
        </w:tc>
      </w:tr>
      <w:tr>
        <w:trPr>
          <w:trHeight w:val="263"/>
        </w:trPr>
        <w:tc>
          <w:tcPr>
            <w:tcW w:w="5760" w:type="dxa"/>
            <w:vAlign w:val="bottom"/>
            <w:gridSpan w:val="2"/>
          </w:tcPr>
          <w:p>
            <w:pPr>
              <w:ind w:left="140"/>
              <w:spacing w:after="0"/>
              <w:rPr>
                <w:sz w:val="20"/>
                <w:szCs w:val="20"/>
                <w:color w:val="auto"/>
              </w:rPr>
            </w:pPr>
            <w:r>
              <w:rPr>
                <w:rFonts w:ascii="Arial" w:cs="Arial" w:eastAsia="Arial" w:hAnsi="Arial"/>
                <w:sz w:val="18"/>
                <w:szCs w:val="18"/>
                <w:color w:val="auto"/>
              </w:rPr>
              <w:t>EBITDA</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41,202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31,549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80,525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58,931</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cash flows provided by operating activities to EBITDA: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1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6"/>
        </w:trPr>
        <w:tc>
          <w:tcPr>
            <w:tcW w:w="5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gridSpan w:val="2"/>
          </w:tcPr>
          <w:p>
            <w:pPr>
              <w:ind w:left="140"/>
              <w:spacing w:after="0"/>
              <w:rPr>
                <w:sz w:val="20"/>
                <w:szCs w:val="20"/>
                <w:color w:val="auto"/>
              </w:rPr>
            </w:pPr>
            <w:r>
              <w:rPr>
                <w:rFonts w:ascii="Arial" w:cs="Arial" w:eastAsia="Arial" w:hAnsi="Arial"/>
                <w:sz w:val="18"/>
                <w:szCs w:val="18"/>
                <w:color w:val="auto"/>
              </w:rPr>
              <w:t>Net cash flows provided by 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29,172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62,680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88,562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97,923</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Add/(subtract):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(49,363)</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flows provided by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(25,243)</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Depreciation &amp; amortization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23,755</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9,037</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80,525</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58,931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of June 30, 2021, we had working capital of $221.5 million. We define working capital as current assets less current liabilities. During the six months ended June 30, 2021, operating activities of our business provided net cash of $88.6 million, compared to $97.9 million of cash provided for the six months ended June 30, 2020. Cash flow from operations is primarily influenced by demand for our services, operating margins, timing of contract performance and the type of services we provide to our customers. The $9.4 million year-over-year decrease in cash used by operating activities was primarily due to unfavorable net changes in operating assets and liabilities of $28.8 million and an increase in net income of $17.8 million. The unfavorable change in operating assets and liabilities was primarily due to the net unfavorable year-over-year changes in various working capital accounts that relate primarily to construction activities (accounts receivable, contract assets, accounts payable and contract liabilities) of $18.2 million and an unfavorable change of $16.8 million in other liabilities. The unfavorable changes in cash provided by working capital accounts, primarily related to construction activities, was primarily due to unfavorable changes in contract assets and contract liabilities due to the timing of billings and payments under our contracts. The unfavorable change of $16.8 million in other liabilities was primarily due to higher bonus accruals and the timing of employee related wage and tax payments.</w:t>
      </w:r>
    </w:p>
    <w:p>
      <w:pPr>
        <w:spacing w:after="0" w:line="18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In the six months ended June 30, 2021, we used net cash of $19.4 million in investing activities of consisting of $21.0 million for capital expenditures, partially offset by $1.6 million of proceeds from the sale of equipment.</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the six months ended June 30, 2021, financing activities used net cash of $23.9 million, consisting primarily of payment of principal obligations under equipment notes of $20.6 million and share repurchases of $3.4 million, all of which represented shares surrendered to satisfy tax obligations under our stock compensation programs.</w:t>
      </w:r>
    </w:p>
    <w:p>
      <w:pPr>
        <w:spacing w:after="0" w:line="18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anticipate that our borrowing availability of $362.7 million at June 30, 2021 under our revolving line of credit and future cash flow from operations will provide sufficient cash to enable us to meet our future operating needs, debt service requirements, capital expenditures, acquisition and joint venture opportunities, share repurchases, and $25.4 million of remaining payroll tax deferrals provided under the Coronavirus Aid, Relief, and Economic Security Act ("CARES Act") which will be paid within the next two years. Although we believe that we have adequate cash and borrowing capacity to meet our liquidity needs, any large projects or acquisitions may require additional capital. We continue to invest in developing key management and craft personnel in both our T&amp;D and C&amp;I markets and in procuring the specific specialty equipment and tooling needed to win and execute projects of all sizes and complexity.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historically paid dividends and currently do not expect to pay dividends.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September 13, 2019, we entered into a five-year amended and restated credit agreement (the “Credit Agreement”) with a syndicate of banks led by JPMorgan Chase Bank, N.A. and Bank of America, N.A. The Credit Agreement provides for a facility of $375 million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We have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Facility are used for refinancing existing debt, working capital, capital expenditures, acquisitions and other general corporate purposes.</w:t>
      </w:r>
    </w:p>
    <w:p>
      <w:pPr>
        <w:spacing w:after="0" w:line="125"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Amounts borrowed under the Credit Agreement bear interest, at our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our consolidated leverage ratio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our consolidated Leverage Ratio. We are subject to a commitment fee of 0.15% to</w:t>
      </w:r>
    </w:p>
    <w:p>
      <w:pPr>
        <w:spacing w:after="0" w:line="4"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0.25%, based on our consolidated Leverage Ratio, on any unused portion of the Facility. The Credit Agreement restricts certain types of payments when our consolidated Leverage Ratio exceeds 2.50 or our consolidated Liquidity (as defined in the Credit Agreement) is less than $50.0 million.</w:t>
      </w:r>
    </w:p>
    <w:p>
      <w:pPr>
        <w:spacing w:after="0" w:line="8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Under the Credit Agreement, we are subject to certain financial covenants and are limited to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We were in compliance with all of the financial covenants under the Credit Agreement as of June 30, 2021.</w:t>
      </w:r>
    </w:p>
    <w:p>
      <w:pPr>
        <w:spacing w:after="0" w:line="10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had no debt outstanding under the Facility as of June 30, 2021 and December 31, 2020, and letters of credit outstanding of approximately $12.3 million and $10.4 million as of June 30, 2021 and December 31,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Notes</w:t>
      </w:r>
    </w:p>
    <w:p>
      <w:pPr>
        <w:spacing w:after="0" w:line="17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We have entered into multiple Master Loan Agreements with multiple banks. The Master Loan Agreements may be used for financing of equipment between us and the lending banks pursuant to one or more equipment notes ("Equipment Notes"). Each Equipment Note constitutes a separate, distinct and independent financing of equipment and contractual obligation.</w:t>
      </w:r>
    </w:p>
    <w:p>
      <w:pPr>
        <w:spacing w:after="0" w:line="130"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As of June 30, 2021, we had two executed and outstanding Equipment Notes that are collateralized by equipment and vehicles owned by us. In addition to regularly scheduled payments, we retired two of our Equipment Notes during the six months ended June 30, 2021, one of which contained a prepayment penalty. The outstanding balance of our Equipment Notes was $8.8 million and $29.4 million as of June 30, 2021 and December 31, 2020, respectively.</w:t>
      </w:r>
    </w:p>
    <w:p>
      <w:pPr>
        <w:spacing w:after="0" w:line="13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July 2, 2021, we prepaid our $3.8 million Equipment Note 9 using cash on hand. This prepayment included an insignificant amount of accrued interest and there was no associated prepayment penalty.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As is common in our industry, we enter into certain off-balance sheet arrangements in the ordinary course of business that result in risks not directly reflected on our balance sheets. Our significant off-balance sheet transactions, such as liabilities associated with letter of credit obligations and surety guarantees related to performance bonds, could be entered into in the normal course of business. We have not engaged in any off-balance sheet financing arrangements through special purpose entities.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a discussion regarding off-balance sheet transactions, please refer to Note 8–Commitments and Contingencies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June 30, 2021 and 2020, none of our customers individually exceeded 10% of consolidated accounts receivable. Management believes the terms and conditions in its contracts, billing and collection policies are adequate to minimize the potential credit risk.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a discussion regarding new accounting pronouncements, please refer to Note 1–Organization, Business and Basis of Presentation—Recent Accounting Pronouncements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2020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 and Information</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In addition, many of these risks, contingencies and uncertainties are currently amplified by, and may continue to be amplified by, the COVID-19 pandemic. These and other important factors, including those discussed under the caption “Forward-Looking Statements” and in Item 1A. “Risk Factors” in our 2020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contingencies and uncertainties include, but are not limited to, the following:</w:t>
      </w:r>
    </w:p>
    <w:p>
      <w:pPr>
        <w:spacing w:after="0" w:line="6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results may vary significantly from period to period.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Negative economic and market conditions may adversely impact our customers’ future spending and, as a result, our operations and growth.</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unsuccessful in generating internal growth, which could impact the projects available to the Company.</w:t>
      </w:r>
    </w:p>
    <w:p>
      <w:pPr>
        <w:spacing w:after="0" w:line="63" w:lineRule="exact"/>
        <w:rPr>
          <w:rFonts w:ascii="Arial" w:cs="Arial" w:eastAsia="Arial" w:hAnsi="Arial"/>
          <w:sz w:val="18"/>
          <w:szCs w:val="18"/>
          <w:color w:val="auto"/>
        </w:rPr>
      </w:pPr>
    </w:p>
    <w:p>
      <w:pPr>
        <w:ind w:left="980" w:right="52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successfully execute or integrate acquisitions or joint ventures may have an adverse impact on our growth strategy and business.</w:t>
      </w:r>
    </w:p>
    <w:p>
      <w:pPr>
        <w:spacing w:after="0" w:line="8"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attract and retain qualified personnel.</w:t>
      </w:r>
    </w:p>
    <w:p>
      <w:pPr>
        <w:spacing w:after="0" w:line="63"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new contracts and termination of existing contracts may result in unpredictable fluctuations in our cash flows and financial results.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ordinary course of our business, we may become subject to lawsuits or indemnity claims.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Backlog may not be realized or may not result in profits and may not accurately represent future revenue.</w:t>
      </w:r>
    </w:p>
    <w:p>
      <w:pPr>
        <w:spacing w:after="0" w:line="63" w:lineRule="exact"/>
        <w:rPr>
          <w:rFonts w:ascii="Arial" w:cs="Arial" w:eastAsia="Arial" w:hAnsi="Arial"/>
          <w:sz w:val="18"/>
          <w:szCs w:val="18"/>
          <w:color w:val="auto"/>
        </w:rPr>
      </w:pPr>
    </w:p>
    <w:p>
      <w:pPr>
        <w:ind w:left="980" w:right="220" w:hanging="324"/>
        <w:spacing w:after="0" w:line="263"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insurance has limits and exclusions that may not fully indemnify us against certain claims or losses, including claims resulting from wildfires or other natural disasters, and the unavailability or cancellation of third party insurance coverages would increase our overall risk exposure and could disrupt our operations.</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laws or our interpretations of tax laws could materially impact our income tax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nature of our business exposes us to potential liability for warranty claims and faulty engineering, which may reduce our profitability.</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operating in the Canadian market could restrict our ability to expand and harm our business and prospects.</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dependence on suppliers, subcontractors and equipment manufacturers could expose us to the risk of loss in our operations.</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participation in joint ventures and other projects with third parties may expose us to liability for failures of our partners.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Legislative or regulatory actions relating to electricity transmission and renewable energy may impact demand for our services.</w:t>
      </w:r>
    </w:p>
    <w:p>
      <w:pPr>
        <w:spacing w:after="0" w:line="63"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incur liabilities and suffer negative financial or reputational impacts relating to occupational health and safety matters, including those related to environmental hazards such as wildfires and other natural disasters.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comply with environmental and other laws and regulations could result in significant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business may be affected by seasonal and other variations, including severe weather conditions and the nature of our work environment.</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Opportunities associated with government contracts could lead to increased governmental regulation applicable to us.</w:t>
      </w:r>
    </w:p>
    <w:p>
      <w:pPr>
        <w:spacing w:after="0" w:line="63" w:lineRule="exact"/>
        <w:rPr>
          <w:rFonts w:ascii="Arial" w:cs="Arial" w:eastAsia="Arial" w:hAnsi="Arial"/>
          <w:sz w:val="18"/>
          <w:szCs w:val="18"/>
          <w:color w:val="auto"/>
        </w:rPr>
      </w:pPr>
    </w:p>
    <w:p>
      <w:pPr>
        <w:ind w:left="980" w:right="340" w:hanging="324"/>
        <w:spacing w:after="0" w:line="298" w:lineRule="auto"/>
        <w:tabs>
          <w:tab w:leader="none" w:pos="975"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subject to risks associated with climate change including financial risks and physical risks such as an increase in extreme weather events (such as floods, wildfires or hurricanes), rising sea levels and limitations on water availability and quality.</w:t>
      </w: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use of percentage-of-completion accounting could result in a reduction or reversal of previously recognized revenues and profits.</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results are based upon estimates and assumptions that may differ from actual results.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actual costs may be greater than expected in performing our fixed-price and unit-price contracts.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the prices of certain materials and commodities used in our business could adversely affect our business.</w:t>
      </w:r>
    </w:p>
    <w:p>
      <w:pPr>
        <w:spacing w:after="0" w:line="6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compete for, or work on, certain projects if we are not able to obtain necessary bonds, letters of credit, bank guarantees or other financial assurances.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COVID-19 may have an adverse impact on our business, employees, liquidity,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8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 stoppages or other labor issues with our unionized workforce could adversely affect our business, and we may be subject to unionization attempts.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Multi-employer pension plan obligations related to our unionized workforce could adversely impact our earnings.</w:t>
      </w:r>
    </w:p>
    <w:p>
      <w:pPr>
        <w:spacing w:after="0" w:line="63" w:lineRule="exact"/>
        <w:rPr>
          <w:rFonts w:ascii="Arial" w:cs="Arial" w:eastAsia="Arial" w:hAnsi="Arial"/>
          <w:sz w:val="18"/>
          <w:szCs w:val="18"/>
          <w:color w:val="auto"/>
        </w:rPr>
      </w:pPr>
    </w:p>
    <w:p>
      <w:pPr>
        <w:ind w:left="980" w:right="360" w:hanging="324"/>
        <w:spacing w:after="0" w:line="263"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of June 30, 2021, we were not party to any derivative instruments. We did not use any material derivative financial instruments during the six months ended June 30, 2021 and 2020, including instruments for trading, hedging or speculating on changes in interest rates or commodity prices of materials used in our business.</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Any borrowings under our Facility are based upon interest rates that will vary depending upon the prime rate, Canadian prime rate, federal funds effective rate, the NYFRB overnight bank funding rate, CDOR, and LIBOR. If the prime rate, Canadian prime rate, federal funds effective rate, the NYFRB overnight bank funding rate, CDOR, or LIBOR rises, any interest payment obligations would increase and have a negative effect on our cash flow and financial condition. We currently do not maintain any hedging contracts that would limit our exposure to variable rates of interest when we have outstanding borrowings. As of June 30, 2021, we did not have any borrowings under our Facility.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Borrowings under our Equipment Notes are at fixed rates established on the date the respective Equipment Note was executed.</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June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discussion regarding legal proceedings, please refer to Note 8–Commitments and Contingencies—Litigation and Other Legal Matters in the accompanying notes to our Consolidated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face a number of risks that could materially and adversely affect our business, employees, liquidity, financial condition, results of operations and cash flows. A discussion of our risk factors can be found in Item 1A. “Risk Factors” in our 2020 Annual Report. As of the date of this filing, there have been no material changes to the risk factors previously discussed in Item 1A. “Risk Factors” in our 2020 Annual Report. An investment in our common stock involves various risks. When considering an investment in our company, you should carefully consider all of the risk factors described in our 2020 Annual Report. These risks and uncertainties are not the only ones facing us and there may be additional matters that are not known to us or that we currently consider immaterial. These risks and uncertainties could adversely affect our business, employees, liquidity, financial condition, results of operations or cash flows and, thus, the value of our common stock and any investment in our company.</w:t>
      </w:r>
    </w:p>
    <w:p>
      <w:pPr>
        <w:spacing w:after="0" w:line="17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Purchases of Common Stock. </w:t>
      </w:r>
      <w:r>
        <w:rPr>
          <w:rFonts w:ascii="Arial" w:cs="Arial" w:eastAsia="Arial" w:hAnsi="Arial"/>
          <w:sz w:val="17"/>
          <w:szCs w:val="17"/>
          <w:color w:val="auto"/>
        </w:rPr>
        <w:t>The following table includes all of the Company’s repurchases of common stock for the periods shown.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are retired and returned to authorized but unissued common stock.</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Approximate Dollar Value of</w:t>
            </w:r>
          </w:p>
        </w:tc>
      </w:tr>
      <w:tr>
        <w:trPr>
          <w:trHeight w:val="162"/>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Shares That May Yet Be</w:t>
            </w:r>
          </w:p>
        </w:tc>
      </w:tr>
      <w:tr>
        <w:trPr>
          <w:trHeight w:val="162"/>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right"/>
              <w:ind w:right="116"/>
              <w:spacing w:after="0"/>
              <w:rPr>
                <w:sz w:val="20"/>
                <w:szCs w:val="20"/>
                <w:color w:val="auto"/>
              </w:rPr>
            </w:pPr>
            <w:r>
              <w:rPr>
                <w:rFonts w:ascii="Arial" w:cs="Arial" w:eastAsia="Arial" w:hAnsi="Arial"/>
                <w:sz w:val="14"/>
                <w:szCs w:val="14"/>
                <w:b w:val="1"/>
                <w:bCs w:val="1"/>
                <w:color w:val="auto"/>
              </w:rPr>
              <w:t>Total Number of Shares</w:t>
            </w:r>
          </w:p>
        </w:tc>
        <w:tc>
          <w:tcPr>
            <w:tcW w:w="14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Price Paid</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Purchased Under the Plans or</w:t>
            </w:r>
          </w:p>
        </w:tc>
      </w:tr>
      <w:tr>
        <w:trPr>
          <w:trHeight w:val="186"/>
        </w:trPr>
        <w:tc>
          <w:tcPr>
            <w:tcW w:w="3780" w:type="dxa"/>
            <w:vAlign w:val="bottom"/>
            <w:gridSpan w:val="2"/>
          </w:tcPr>
          <w:p>
            <w:pPr>
              <w:ind w:left="1640"/>
              <w:spacing w:after="0"/>
              <w:rPr>
                <w:sz w:val="20"/>
                <w:szCs w:val="20"/>
                <w:color w:val="auto"/>
              </w:rPr>
            </w:pPr>
            <w:r>
              <w:rPr>
                <w:rFonts w:ascii="Arial" w:cs="Arial" w:eastAsia="Arial" w:hAnsi="Arial"/>
                <w:sz w:val="14"/>
                <w:szCs w:val="14"/>
                <w:b w:val="1"/>
                <w:bCs w:val="1"/>
                <w:color w:val="auto"/>
              </w:rPr>
              <w:t>Period</w:t>
            </w:r>
          </w:p>
        </w:tc>
        <w:tc>
          <w:tcPr>
            <w:tcW w:w="1880" w:type="dxa"/>
            <w:vAlign w:val="bottom"/>
          </w:tcPr>
          <w:p>
            <w:pPr>
              <w:jc w:val="right"/>
              <w:ind w:right="416"/>
              <w:spacing w:after="0"/>
              <w:rPr>
                <w:sz w:val="20"/>
                <w:szCs w:val="20"/>
                <w:color w:val="auto"/>
              </w:rPr>
            </w:pPr>
            <w:r>
              <w:rPr>
                <w:rFonts w:ascii="Arial" w:cs="Arial" w:eastAsia="Arial" w:hAnsi="Arial"/>
                <w:sz w:val="14"/>
                <w:szCs w:val="14"/>
                <w:b w:val="1"/>
                <w:bCs w:val="1"/>
                <w:color w:val="auto"/>
              </w:rPr>
              <w:t>Purchased (1)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Plans or Programs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Programs (2)</w:t>
            </w:r>
          </w:p>
        </w:tc>
      </w:tr>
      <w:tr>
        <w:trPr>
          <w:trHeight w:val="26"/>
        </w:trPr>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3"/>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1, 2021 - April 30, 2021</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10,246</w:t>
            </w:r>
          </w:p>
        </w:tc>
        <w:tc>
          <w:tcPr>
            <w:tcW w:w="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May 1, 2021 - May 31, 2021</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0" w:type="dxa"/>
            <w:vAlign w:val="bottom"/>
          </w:tcPr>
          <w:p>
            <w:pPr>
              <w:ind w:left="17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50,000,000</w:t>
            </w: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1, 2021 - June 30, 2021</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r>
      <w:tr>
        <w:trPr>
          <w:trHeight w:val="264"/>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10,246</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71.67</w:t>
            </w:r>
          </w:p>
        </w:tc>
        <w:tc>
          <w:tcPr>
            <w:tcW w:w="120" w:type="dxa"/>
            <w:vAlign w:val="bottom"/>
          </w:tcPr>
          <w:p>
            <w:pPr>
              <w:spacing w:after="0"/>
              <w:rPr>
                <w:sz w:val="22"/>
                <w:szCs w:val="22"/>
                <w:color w:val="auto"/>
              </w:rPr>
            </w:pPr>
          </w:p>
        </w:tc>
        <w:tc>
          <w:tcPr>
            <w:tcW w:w="2000" w:type="dxa"/>
            <w:vAlign w:val="bottom"/>
            <w:tcBorders>
              <w:top w:val="single" w:sz="8" w:color="auto"/>
              <w:bottom w:val="single" w:sz="8" w:color="auto"/>
            </w:tcBorders>
          </w:tcPr>
          <w:p>
            <w:pPr>
              <w:ind w:left="1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40" w:firstLine="8"/>
        <w:spacing w:after="0" w:line="277"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column contains repurchases of common stock to satisfy tax obligations on the vesting of restricted stock under the 2017 Long-Term Incentive Plan (as amended).</w:t>
      </w:r>
    </w:p>
    <w:p>
      <w:pPr>
        <w:spacing w:after="0" w:line="62" w:lineRule="exact"/>
        <w:rPr>
          <w:rFonts w:ascii="Arial" w:cs="Arial" w:eastAsia="Arial" w:hAnsi="Arial"/>
          <w:sz w:val="18"/>
          <w:szCs w:val="18"/>
          <w:color w:val="auto"/>
        </w:rPr>
      </w:pPr>
    </w:p>
    <w:p>
      <w:pPr>
        <w:ind w:right="300" w:firstLine="8"/>
        <w:spacing w:after="0" w:line="259"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October 23, 2020 the Company’s Board of Directors announced a new $50.0 million share repurchase program effective November 2, 2020. The Company intends to fund the share repurchase program from cash on hand and through borrowings under its credit facility. The new share repurchase program will expire on November 2, 2021, or when the authorized funds are exhausted, whichever is earlier. No shares were repurchased under the program during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58"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40" w:type="dxa"/>
            <w:vAlign w:val="bottom"/>
            <w:gridSpan w:val="5"/>
            <w:shd w:val="clear" w:color="auto" w:fill="CCEEFF"/>
          </w:tcPr>
          <w:p>
            <w:pPr>
              <w:spacing w:after="0"/>
              <w:rPr>
                <w:rFonts w:ascii="Arial" w:cs="Arial" w:eastAsia="Arial" w:hAnsi="Arial"/>
                <w:sz w:val="20"/>
                <w:szCs w:val="20"/>
                <w:color w:val="0000FF"/>
              </w:rPr>
            </w:pPr>
            <w:hyperlink w:anchor="page37">
              <w:r>
                <w:rPr>
                  <w:rFonts w:ascii="Arial" w:cs="Arial" w:eastAsia="Arial" w:hAnsi="Arial"/>
                  <w:sz w:val="20"/>
                  <w:szCs w:val="20"/>
                  <w:color w:val="0000FF"/>
                </w:rPr>
                <w:t>Certification of Chief Executive Officer pursuant to SEC Rule 13a-14(a)/15d-14(a)†</w:t>
              </w:r>
            </w:hyperlink>
          </w:p>
        </w:tc>
      </w:tr>
      <w:tr>
        <w:trPr>
          <w:trHeight w:val="223"/>
        </w:trPr>
        <w:tc>
          <w:tcPr>
            <w:tcW w:w="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320" w:type="dxa"/>
            <w:vAlign w:val="bottom"/>
            <w:tcBorders>
              <w:top w:val="single" w:sz="8" w:color="0000FF"/>
              <w:bottom w:val="single" w:sz="8" w:color="0000FF"/>
            </w:tcBorders>
          </w:tcPr>
          <w:p>
            <w:pPr>
              <w:jc w:val="right"/>
              <w:spacing w:after="0" w:line="182" w:lineRule="exact"/>
              <w:rPr>
                <w:rFonts w:ascii="Arial" w:cs="Arial" w:eastAsia="Arial" w:hAnsi="Arial"/>
                <w:sz w:val="18"/>
                <w:szCs w:val="18"/>
                <w:color w:val="0000FF"/>
                <w:w w:val="85"/>
              </w:rPr>
            </w:pPr>
            <w:hyperlink w:anchor="page3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680" w:type="dxa"/>
            <w:vAlign w:val="bottom"/>
            <w:tcBorders>
              <w:top w:val="single" w:sz="8" w:color="0000FF"/>
            </w:tcBorders>
            <w:gridSpan w:val="4"/>
          </w:tcPr>
          <w:p>
            <w:pPr>
              <w:spacing w:after="0" w:line="183" w:lineRule="exact"/>
              <w:rPr>
                <w:rFonts w:ascii="Arial" w:cs="Arial" w:eastAsia="Arial" w:hAnsi="Arial"/>
                <w:sz w:val="20"/>
                <w:szCs w:val="20"/>
                <w:color w:val="0000FF"/>
                <w:w w:val="91"/>
              </w:rPr>
            </w:pPr>
            <w:hyperlink w:anchor="page38">
              <w:r>
                <w:rPr>
                  <w:rFonts w:ascii="Arial" w:cs="Arial" w:eastAsia="Arial" w:hAnsi="Arial"/>
                  <w:sz w:val="20"/>
                  <w:szCs w:val="20"/>
                  <w:color w:val="0000FF"/>
                  <w:w w:val="91"/>
                </w:rPr>
                <w:t>Certification of Chief Financial Officer pursuant to SEC Rule 13a-14(a)/15d-14(a)†</w:t>
              </w:r>
            </w:hyperlink>
          </w:p>
        </w:tc>
        <w:tc>
          <w:tcPr>
            <w:tcW w:w="3360" w:type="dxa"/>
            <w:vAlign w:val="bottom"/>
            <w:tcBorders>
              <w:top w:val="single" w:sz="8" w:color="CCEEFF"/>
            </w:tcBorders>
          </w:tcPr>
          <w:p>
            <w:pPr>
              <w:spacing w:after="0"/>
              <w:rPr>
                <w:sz w:val="19"/>
                <w:szCs w:val="19"/>
                <w:color w:val="auto"/>
              </w:rPr>
            </w:pPr>
          </w:p>
        </w:tc>
      </w:tr>
      <w:tr>
        <w:trPr>
          <w:trHeight w:val="41"/>
        </w:trPr>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6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63"/>
        </w:trPr>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line="182" w:lineRule="exact"/>
              <w:rPr>
                <w:rFonts w:ascii="Arial" w:cs="Arial" w:eastAsia="Arial" w:hAnsi="Arial"/>
                <w:sz w:val="18"/>
                <w:szCs w:val="18"/>
                <w:color w:val="0000FF"/>
                <w:w w:val="85"/>
              </w:rPr>
            </w:pPr>
            <w:hyperlink w:anchor="page3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40" w:type="dxa"/>
            <w:vAlign w:val="bottom"/>
            <w:gridSpan w:val="5"/>
            <w:shd w:val="clear" w:color="auto" w:fill="CCEEFF"/>
          </w:tcPr>
          <w:p>
            <w:pPr>
              <w:spacing w:after="0" w:line="183" w:lineRule="exact"/>
              <w:rPr>
                <w:rFonts w:ascii="Arial" w:cs="Arial" w:eastAsia="Arial" w:hAnsi="Arial"/>
                <w:sz w:val="20"/>
                <w:szCs w:val="20"/>
                <w:color w:val="0000FF"/>
              </w:rPr>
            </w:pPr>
            <w:hyperlink w:anchor="page39">
              <w:r>
                <w:rPr>
                  <w:rFonts w:ascii="Arial" w:cs="Arial" w:eastAsia="Arial" w:hAnsi="Arial"/>
                  <w:sz w:val="20"/>
                  <w:szCs w:val="20"/>
                  <w:color w:val="0000FF"/>
                </w:rPr>
                <w:t>Certification of Chief Executive Officer pursuant to 18 U.S.C. §1350†</w:t>
              </w:r>
            </w:hyperlink>
          </w:p>
        </w:tc>
      </w:tr>
      <w:tr>
        <w:trPr>
          <w:trHeight w:val="223"/>
        </w:trPr>
        <w:tc>
          <w:tcPr>
            <w:tcW w:w="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320" w:type="dxa"/>
            <w:vAlign w:val="bottom"/>
            <w:tcBorders>
              <w:top w:val="single" w:sz="8" w:color="0000FF"/>
              <w:bottom w:val="single" w:sz="8" w:color="0000FF"/>
            </w:tcBorders>
          </w:tcPr>
          <w:p>
            <w:pPr>
              <w:jc w:val="right"/>
              <w:spacing w:after="0" w:line="182" w:lineRule="exact"/>
              <w:rPr>
                <w:rFonts w:ascii="Arial" w:cs="Arial" w:eastAsia="Arial" w:hAnsi="Arial"/>
                <w:sz w:val="18"/>
                <w:szCs w:val="18"/>
                <w:color w:val="0000FF"/>
                <w:w w:val="85"/>
              </w:rPr>
            </w:pPr>
            <w:hyperlink w:anchor="page40">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560" w:type="dxa"/>
            <w:vAlign w:val="bottom"/>
            <w:tcBorders>
              <w:top w:val="single" w:sz="8" w:color="0000FF"/>
            </w:tcBorders>
            <w:gridSpan w:val="2"/>
          </w:tcPr>
          <w:p>
            <w:pPr>
              <w:spacing w:after="0" w:line="183" w:lineRule="exact"/>
              <w:rPr>
                <w:rFonts w:ascii="Arial" w:cs="Arial" w:eastAsia="Arial" w:hAnsi="Arial"/>
                <w:sz w:val="20"/>
                <w:szCs w:val="20"/>
                <w:color w:val="0000FF"/>
                <w:w w:val="92"/>
              </w:rPr>
            </w:pPr>
            <w:hyperlink w:anchor="page40">
              <w:r>
                <w:rPr>
                  <w:rFonts w:ascii="Arial" w:cs="Arial" w:eastAsia="Arial" w:hAnsi="Arial"/>
                  <w:sz w:val="20"/>
                  <w:szCs w:val="20"/>
                  <w:color w:val="0000FF"/>
                  <w:w w:val="92"/>
                </w:rPr>
                <w:t>Certification of Chief Financial Officer pursuant to 18 U.S.C. §1350†</w:t>
              </w:r>
            </w:hyperlink>
          </w:p>
        </w:tc>
        <w:tc>
          <w:tcPr>
            <w:tcW w:w="4480" w:type="dxa"/>
            <w:vAlign w:val="bottom"/>
            <w:tcBorders>
              <w:top w:val="single" w:sz="8" w:color="CCEEFF"/>
            </w:tcBorders>
            <w:gridSpan w:val="3"/>
          </w:tcPr>
          <w:p>
            <w:pPr>
              <w:spacing w:after="0"/>
              <w:rPr>
                <w:sz w:val="19"/>
                <w:szCs w:val="19"/>
                <w:color w:val="auto"/>
              </w:rPr>
            </w:pPr>
          </w:p>
        </w:tc>
      </w:tr>
      <w:tr>
        <w:trPr>
          <w:trHeight w:val="41"/>
        </w:trPr>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52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0"/>
        </w:trPr>
        <w:tc>
          <w:tcPr>
            <w:tcW w:w="1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5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360" w:type="dxa"/>
            <w:vAlign w:val="bottom"/>
            <w:shd w:val="clear" w:color="auto" w:fill="CCEEFF"/>
          </w:tcPr>
          <w:p>
            <w:pPr>
              <w:spacing w:after="0"/>
              <w:rPr>
                <w:sz w:val="23"/>
                <w:szCs w:val="23"/>
                <w:color w:val="auto"/>
              </w:rPr>
            </w:pPr>
          </w:p>
        </w:tc>
      </w:tr>
      <w:tr>
        <w:trPr>
          <w:trHeight w:val="243"/>
        </w:trPr>
        <w:tc>
          <w:tcPr>
            <w:tcW w:w="18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101.INS</w:t>
            </w:r>
          </w:p>
        </w:tc>
        <w:tc>
          <w:tcPr>
            <w:tcW w:w="10120" w:type="dxa"/>
            <w:vAlign w:val="bottom"/>
            <w:gridSpan w:val="6"/>
          </w:tcPr>
          <w:p>
            <w:pPr>
              <w:ind w:left="80"/>
              <w:spacing w:after="0"/>
              <w:rPr>
                <w:sz w:val="20"/>
                <w:szCs w:val="20"/>
                <w:color w:val="auto"/>
              </w:rPr>
            </w:pPr>
            <w:r>
              <w:rPr>
                <w:rFonts w:ascii="Arial" w:cs="Arial" w:eastAsia="Arial" w:hAnsi="Arial"/>
                <w:sz w:val="18"/>
                <w:szCs w:val="18"/>
                <w:color w:val="auto"/>
              </w:rPr>
              <w:t>Inline XBRL Instance Document*</w:t>
            </w:r>
          </w:p>
        </w:tc>
      </w:tr>
      <w:tr>
        <w:trPr>
          <w:trHeight w:val="27"/>
        </w:trPr>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101.SCH</w:t>
            </w:r>
          </w:p>
        </w:tc>
        <w:tc>
          <w:tcPr>
            <w:tcW w:w="10120" w:type="dxa"/>
            <w:vAlign w:val="bottom"/>
            <w:tcBorders>
              <w:bottom w:val="single" w:sz="8" w:color="CCEEFF"/>
            </w:tcBorders>
            <w:gridSpan w:val="6"/>
            <w:shd w:val="clear" w:color="auto" w:fill="CCEEFF"/>
          </w:tcPr>
          <w:p>
            <w:pPr>
              <w:ind w:left="80"/>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8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101.CAL</w:t>
            </w:r>
          </w:p>
        </w:tc>
        <w:tc>
          <w:tcPr>
            <w:tcW w:w="10120" w:type="dxa"/>
            <w:vAlign w:val="bottom"/>
            <w:gridSpan w:val="6"/>
          </w:tcPr>
          <w:p>
            <w:pPr>
              <w:ind w:left="8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
        </w:trPr>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101.DEF</w:t>
            </w:r>
          </w:p>
        </w:tc>
        <w:tc>
          <w:tcPr>
            <w:tcW w:w="10120" w:type="dxa"/>
            <w:vAlign w:val="bottom"/>
            <w:tcBorders>
              <w:bottom w:val="single" w:sz="8" w:color="CCEEFF"/>
            </w:tcBorders>
            <w:gridSpan w:val="6"/>
            <w:shd w:val="clear" w:color="auto" w:fill="CCEEFF"/>
          </w:tcPr>
          <w:p>
            <w:pPr>
              <w:ind w:left="8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8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101.LAB</w:t>
            </w:r>
          </w:p>
        </w:tc>
        <w:tc>
          <w:tcPr>
            <w:tcW w:w="10120" w:type="dxa"/>
            <w:vAlign w:val="bottom"/>
            <w:gridSpan w:val="6"/>
          </w:tcPr>
          <w:p>
            <w:pPr>
              <w:ind w:left="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
        </w:trPr>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101.PRE</w:t>
            </w:r>
          </w:p>
        </w:tc>
        <w:tc>
          <w:tcPr>
            <w:tcW w:w="10120" w:type="dxa"/>
            <w:vAlign w:val="bottom"/>
            <w:tcBorders>
              <w:bottom w:val="single" w:sz="8" w:color="CCEEFF"/>
            </w:tcBorders>
            <w:gridSpan w:val="6"/>
            <w:shd w:val="clear" w:color="auto" w:fill="CCEEFF"/>
          </w:tcPr>
          <w:p>
            <w:pPr>
              <w:ind w:left="8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3"/>
        </w:trPr>
        <w:tc>
          <w:tcPr>
            <w:tcW w:w="18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104</w:t>
            </w:r>
          </w:p>
        </w:tc>
        <w:tc>
          <w:tcPr>
            <w:tcW w:w="10120" w:type="dxa"/>
            <w:vAlign w:val="bottom"/>
            <w:gridSpan w:val="6"/>
          </w:tcPr>
          <w:p>
            <w:pPr>
              <w:ind w:left="8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310"/>
        </w:trPr>
        <w:tc>
          <w:tcPr>
            <w:tcW w:w="6720" w:type="dxa"/>
            <w:vAlign w:val="bottom"/>
            <w:gridSpan w:val="6"/>
          </w:tcPr>
          <w:p>
            <w:pPr>
              <w:spacing w:after="0"/>
              <w:rPr>
                <w:sz w:val="20"/>
                <w:szCs w:val="20"/>
                <w:color w:val="auto"/>
              </w:rPr>
            </w:pPr>
            <w:r>
              <w:rPr>
                <w:rFonts w:ascii="Arial" w:cs="Arial" w:eastAsia="Arial" w:hAnsi="Arial"/>
                <w:sz w:val="18"/>
                <w:szCs w:val="18"/>
                <w:color w:val="auto"/>
              </w:rPr>
              <w:t>______________________________________</w:t>
            </w: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60" w:type="dxa"/>
            <w:vAlign w:val="bottom"/>
            <w:gridSpan w:val="9"/>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60" w:type="dxa"/>
            <w:vAlign w:val="bottom"/>
            <w:gridSpan w:val="9"/>
          </w:tcPr>
          <w:p>
            <w:pPr>
              <w:ind w:left="100"/>
              <w:spacing w:after="0"/>
              <w:rPr>
                <w:sz w:val="20"/>
                <w:szCs w:val="20"/>
                <w:color w:val="auto"/>
              </w:rPr>
            </w:pPr>
            <w:r>
              <w:rPr>
                <w:rFonts w:ascii="Arial" w:cs="Arial" w:eastAsia="Arial" w:hAnsi="Arial"/>
                <w:sz w:val="18"/>
                <w:szCs w:val="18"/>
                <w:color w:val="auto"/>
              </w:rPr>
              <w:t>Electronically filed</w:t>
            </w:r>
          </w:p>
        </w:tc>
      </w:tr>
      <w:tr>
        <w:trPr>
          <w:trHeight w:val="891"/>
        </w:trPr>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0" w:type="dxa"/>
            <w:vAlign w:val="bottom"/>
            <w:gridSpan w:val="2"/>
          </w:tcPr>
          <w:p>
            <w:pPr>
              <w:jc w:val="right"/>
              <w:ind w:right="901"/>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MYR GROUP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(Registrant)</w:t>
      </w:r>
    </w:p>
    <w:p>
      <w:pPr>
        <w:spacing w:after="0" w:line="103"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8"/>
          <w:szCs w:val="18"/>
          <w:color w:val="auto"/>
        </w:rPr>
        <w:t>July 28, 2021</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31750</wp:posOffset>
            </wp:positionV>
            <wp:extent cx="38144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Betty R. Johnson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0"/>
          </w:cols>
          <w:pgMar w:left="320" w:top="125" w:right="6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644"/>
        <w:spacing w:after="0" w:line="263"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291"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644"/>
        <w:spacing w:after="0" w:line="277"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July 28, 2021</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31750</wp:posOffset>
            </wp:positionV>
            <wp:extent cx="3197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9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110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Betty R. Johnson, certify that:</w:t>
      </w:r>
    </w:p>
    <w:p>
      <w:pPr>
        <w:spacing w:after="0" w:line="225"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ind w:left="660" w:right="140" w:hanging="652"/>
        <w:spacing w:after="0" w:line="263" w:lineRule="auto"/>
        <w:tabs>
          <w:tab w:leader="none" w:pos="3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40" w:hanging="652"/>
        <w:spacing w:after="0" w:line="308" w:lineRule="auto"/>
        <w:tabs>
          <w:tab w:leader="none" w:pos="327"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644"/>
        <w:spacing w:after="0" w:line="263"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340" w:hanging="652"/>
        <w:spacing w:after="0" w:line="342" w:lineRule="auto"/>
        <w:tabs>
          <w:tab w:leader="none" w:pos="3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644"/>
        <w:spacing w:after="0" w:line="342" w:lineRule="auto"/>
        <w:tabs>
          <w:tab w:leader="none" w:pos="1291"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644"/>
        <w:spacing w:after="0" w:line="277"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July 28, 2021</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110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 Richard S. Swartz, Jr., Chief Executive Officer and President of MYR Group Inc. (the “Company”), certify, pursuant to 18 U.S.C. § 1350, as adopted pursuant to § 906 of the Sarbanes-Oxley Act of 2002, that:</w:t>
      </w:r>
    </w:p>
    <w:p>
      <w:pPr>
        <w:spacing w:after="0" w:line="170" w:lineRule="exact"/>
        <w:rPr>
          <w:sz w:val="20"/>
          <w:szCs w:val="20"/>
          <w:color w:val="auto"/>
        </w:rPr>
      </w:pPr>
    </w:p>
    <w:p>
      <w:pPr>
        <w:ind w:left="660" w:right="140" w:hanging="652"/>
        <w:spacing w:after="0" w:line="277"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for the quarter and six months ended June 30, 2021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397"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July 28, 2021</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and President</w:t>
      </w:r>
    </w:p>
    <w:p>
      <w:pPr>
        <w:sectPr>
          <w:pgSz w:w="11900" w:h="16838" w:orient="portrait"/>
          <w:cols w:equalWidth="0" w:num="1">
            <w:col w:w="11240"/>
          </w:cols>
          <w:pgMar w:left="320" w:top="110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SECTION 906 OF THE SARBANES-OXLEY ACT OF 2002</w:t>
      </w:r>
    </w:p>
    <w:p>
      <w:pPr>
        <w:spacing w:after="0" w:line="21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 Betty R. Johnson, Senior Vice President and Chief Financial Officer of MYR Group, Inc. (the “Company”), certify, pursuant to 18 U.S.C. § 1350, as adopted pursuant to § 906 of the Sarbanes-Oxley Act of 2002, that:</w:t>
      </w:r>
    </w:p>
    <w:p>
      <w:pPr>
        <w:spacing w:after="0" w:line="170" w:lineRule="exact"/>
        <w:rPr>
          <w:sz w:val="20"/>
          <w:szCs w:val="20"/>
          <w:color w:val="auto"/>
        </w:rPr>
      </w:pPr>
    </w:p>
    <w:p>
      <w:pPr>
        <w:ind w:left="660" w:right="140" w:hanging="652"/>
        <w:spacing w:after="0" w:line="277"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for the quarter and six months ended June 30, 2021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July 28, 2021</w:t>
      </w:r>
      <w:r>
        <w:rPr>
          <w:sz w:val="20"/>
          <w:szCs w:val="20"/>
          <w:color w:val="auto"/>
        </w:rPr>
        <w:tab/>
      </w: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9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00"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Senior Vice President and Chief Financial Officer</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Letter"/>
      <w:start w:val="4"/>
    </w:lvl>
  </w:abstractNum>
  <w:abstractNum w:abstractNumId="4">
    <w:nsid w:val="5BD062C2"/>
    <w:multiLevelType w:val="hybridMultilevel"/>
    <w:lvl w:ilvl="0">
      <w:lvlJc w:val="left"/>
      <w:lvlText w:val="(%1)"/>
      <w:numFmt w:val="lowerLetter"/>
      <w:start w:val="10"/>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2021-07-28T15:46:25Z</dcterms:created>
  <dcterms:modified xsi:type="dcterms:W3CDTF">2021-07-28T15:46:25Z</dcterms:modified>
</cp:coreProperties>
</file>