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204" w:right="319" w:bottom="1440" w:gutter="0" w:footer="0" w:header="0"/>
        </w:sectPr>
      </w:pPr>
    </w:p>
    <w:p>
      <w:pPr>
        <w:spacing w:after="0" w:line="24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1-08325</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36-3158643</w:t>
      </w:r>
    </w:p>
    <w:p>
      <w:pPr>
        <w:spacing w:after="0" w:line="1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60"/>
          </w:cols>
          <w:pgMar w:left="320" w:top="1204" w:right="319" w:bottom="1440" w:gutter="0" w:footer="0" w:header="0"/>
          <w:type w:val="continuous"/>
        </w:sectPr>
      </w:pPr>
    </w:p>
    <w:p>
      <w:pPr>
        <w:spacing w:after="0" w:line="163"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12121 Grant Street,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Suite 610</w:t>
      </w:r>
    </w:p>
    <w:p>
      <w:pPr>
        <w:spacing w:after="0" w:line="75" w:lineRule="exact"/>
        <w:rPr>
          <w:sz w:val="24"/>
          <w:szCs w:val="24"/>
          <w:color w:val="auto"/>
        </w:rPr>
      </w:pPr>
    </w:p>
    <w:p>
      <w:pPr>
        <w:sectPr>
          <w:pgSz w:w="11900" w:h="16838" w:orient="portrait"/>
          <w:cols w:equalWidth="0" w:num="2">
            <w:col w:w="1960" w:space="460"/>
            <w:col w:w="8840"/>
          </w:cols>
          <w:pgMar w:left="320" w:top="1204" w:right="319" w:bottom="1440" w:gutter="0" w:footer="0" w:header="0"/>
          <w:type w:val="continuous"/>
        </w:sectPr>
      </w:pPr>
    </w:p>
    <w:p>
      <w:pPr>
        <w:ind w:left="460"/>
        <w:spacing w:after="0"/>
        <w:tabs>
          <w:tab w:leader="none" w:pos="1540" w:val="left"/>
        </w:tabs>
        <w:rPr>
          <w:sz w:val="20"/>
          <w:szCs w:val="20"/>
          <w:color w:val="auto"/>
        </w:rPr>
      </w:pPr>
      <w:r>
        <w:rPr>
          <w:rFonts w:ascii="Times New Roman" w:cs="Times New Roman" w:eastAsia="Times New Roman" w:hAnsi="Times New Roman"/>
          <w:sz w:val="17"/>
          <w:szCs w:val="17"/>
          <w:b w:val="1"/>
          <w:bCs w:val="1"/>
          <w:color w:val="auto"/>
        </w:rPr>
        <w:t>Thornton,</w:t>
      </w:r>
      <w:r>
        <w:rPr>
          <w:sz w:val="20"/>
          <w:szCs w:val="20"/>
          <w:color w:val="auto"/>
        </w:rPr>
        <w:tab/>
      </w:r>
      <w:r>
        <w:rPr>
          <w:rFonts w:ascii="Times New Roman" w:cs="Times New Roman" w:eastAsia="Times New Roman" w:hAnsi="Times New Roman"/>
          <w:sz w:val="17"/>
          <w:szCs w:val="17"/>
          <w:b w:val="1"/>
          <w:bCs w:val="1"/>
          <w:color w:val="auto"/>
        </w:rPr>
        <w:t>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80241</w:t>
      </w:r>
    </w:p>
    <w:p>
      <w:pPr>
        <w:spacing w:after="0" w:line="72" w:lineRule="exact"/>
        <w:rPr>
          <w:sz w:val="24"/>
          <w:szCs w:val="24"/>
          <w:color w:val="auto"/>
        </w:rPr>
      </w:pPr>
    </w:p>
    <w:p>
      <w:pPr>
        <w:sectPr>
          <w:pgSz w:w="11900" w:h="16838" w:orient="portrait"/>
          <w:cols w:equalWidth="0" w:num="2">
            <w:col w:w="8620" w:space="720"/>
            <w:col w:w="1920"/>
          </w:cols>
          <w:pgMar w:left="320" w:top="1204"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8480" w:space="720"/>
            <w:col w:w="2060"/>
          </w:cols>
          <w:pgMar w:left="320" w:top="1204" w:right="319" w:bottom="1440" w:gutter="0" w:footer="0" w:header="0"/>
          <w:type w:val="continuous"/>
        </w:sectPr>
      </w:pPr>
    </w:p>
    <w:p>
      <w:pPr>
        <w:spacing w:after="0" w:line="9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286-8000</w:t>
      </w:r>
    </w:p>
    <w:p>
      <w:pPr>
        <w:spacing w:after="0" w:line="185"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80" w:firstLine="26"/>
        <w:spacing w:after="0" w:line="550"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382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38" w:lineRule="exact"/>
        <w:rPr>
          <w:sz w:val="24"/>
          <w:szCs w:val="24"/>
          <w:color w:val="auto"/>
        </w:rPr>
      </w:pPr>
    </w:p>
    <w:p>
      <w:pPr>
        <w:jc w:val="both"/>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0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October 28, 2026, MYR Group Inc. (the “Company”) issued a press release announcing its financial results for the three and nine months ended September 30, 2026. The press release is furnished hereto as Exhibit 99.1.</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shall not be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October 28, 2026, the Company also announced that its Board of Directors approved a new share repurchase program (the “Repurchase Program”), which will be effective on November 4, 2026, and authorizes the Company to repurchase, in the aggregate, up to $100.0 million of its outstanding shares of common stock from time to time at management’s discretion on the open market or in privately negotiated transactions, including through Rule 10b5-1 trading plans, structured transactions or other means in accordance with applicable securities laws. The amount and timing of repurchases are subject to a variety of factors, including market and business conditions, as well as applicable contractual and legal requirements. The Repurchase Program will expire on November 3, 2027, or when the authorized funds are exhausted, whichever is earlier. The Company is not obligated to acquire any specific amount of common stock, and the Company’s Board of Directors may modify or terminate the Repurchase Program at any time. The Company intends to fund the Repurchase Program with cash on hand and through borrowings under its revolving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being furnished with this Current Report on Form 8-K.</w:t>
      </w:r>
    </w:p>
    <w:p>
      <w:pPr>
        <w:spacing w:after="0" w:line="293" w:lineRule="exact"/>
        <w:rPr>
          <w:sz w:val="20"/>
          <w:szCs w:val="20"/>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MYR Group Inc. Press Release, dated October 28, 2026</w:t>
      </w:r>
    </w:p>
    <w:p>
      <w:pPr>
        <w:spacing w:after="0" w:line="50" w:lineRule="exact"/>
        <w:rPr>
          <w:sz w:val="20"/>
          <w:szCs w:val="20"/>
          <w:color w:val="auto"/>
        </w:rPr>
      </w:pPr>
    </w:p>
    <w:p>
      <w:pPr>
        <w:ind w:left="720" w:hanging="694"/>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gridSpan w:val="3"/>
          </w:tcPr>
          <w:p>
            <w:pPr>
              <w:ind w:left="2300"/>
              <w:spacing w:after="0"/>
              <w:rPr>
                <w:sz w:val="20"/>
                <w:szCs w:val="20"/>
                <w:color w:val="auto"/>
              </w:rPr>
            </w:pPr>
            <w:r>
              <w:rPr>
                <w:rFonts w:ascii="Times New Roman" w:cs="Times New Roman" w:eastAsia="Times New Roman" w:hAnsi="Times New Roman"/>
                <w:sz w:val="18"/>
                <w:szCs w:val="18"/>
                <w:b w:val="1"/>
                <w:bCs w:val="1"/>
                <w:color w:val="auto"/>
              </w:rPr>
              <w:t>MYR GROUP INC.</w:t>
            </w:r>
          </w:p>
        </w:tc>
      </w:tr>
      <w:tr>
        <w:trPr>
          <w:trHeight w:val="48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28, 2026</w:t>
            </w:r>
          </w:p>
        </w:tc>
        <w:tc>
          <w:tcPr>
            <w:tcW w:w="7580" w:type="dxa"/>
            <w:vAlign w:val="bottom"/>
            <w:gridSpan w:val="3"/>
          </w:tcPr>
          <w:p>
            <w:pPr>
              <w:ind w:left="2300"/>
              <w:spacing w:after="0"/>
              <w:rPr>
                <w:sz w:val="20"/>
                <w:szCs w:val="20"/>
                <w:color w:val="auto"/>
              </w:rPr>
            </w:pPr>
            <w:r>
              <w:rPr>
                <w:rFonts w:ascii="Times New Roman" w:cs="Times New Roman" w:eastAsia="Times New Roman" w:hAnsi="Times New Roman"/>
                <w:sz w:val="18"/>
                <w:szCs w:val="18"/>
                <w:color w:val="auto"/>
              </w:rPr>
              <w:t>By:   /s/ KELLY M. HUNTINGTON</w:t>
            </w:r>
          </w:p>
        </w:tc>
      </w:tr>
      <w:tr>
        <w:trPr>
          <w:trHeight w:val="218"/>
        </w:trPr>
        <w:tc>
          <w:tcPr>
            <w:tcW w:w="3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Kelly M. Huntington</w:t>
            </w:r>
          </w:p>
        </w:tc>
      </w:tr>
      <w:tr>
        <w:trPr>
          <w:trHeight w:val="234"/>
        </w:trPr>
        <w:tc>
          <w:tcPr>
            <w:tcW w:w="3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904"/>
        </w:trPr>
        <w:tc>
          <w:tcPr>
            <w:tcW w:w="3640" w:type="dxa"/>
            <w:vAlign w:val="bottom"/>
          </w:tcPr>
          <w:p>
            <w:pPr>
              <w:spacing w:after="0"/>
              <w:rPr>
                <w:sz w:val="24"/>
                <w:szCs w:val="24"/>
                <w:color w:val="auto"/>
              </w:rPr>
            </w:pPr>
          </w:p>
        </w:tc>
        <w:tc>
          <w:tcPr>
            <w:tcW w:w="28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1285875" cy="600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MYR Group Inc. Announces Third-Quarter and First Nine-Months 2026 Results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Board Approves New $100 Million Share Repurchase Program</w:t>
      </w:r>
    </w:p>
    <w:p>
      <w:pPr>
        <w:spacing w:after="0" w:line="15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 xml:space="preserve">Thornton, Colo., October 28, 2026 – </w:t>
      </w:r>
      <w:r>
        <w:rPr>
          <w:rFonts w:ascii="Times New Roman" w:cs="Times New Roman" w:eastAsia="Times New Roman" w:hAnsi="Times New Roman"/>
          <w:sz w:val="18"/>
          <w:szCs w:val="18"/>
          <w:b w:val="1"/>
          <w:bCs w:val="1"/>
          <w:color w:val="auto"/>
        </w:rPr>
        <w:t>MYR Group Inc. (“MYR or the "Company”) (NASDAQ: MYRG)</w:t>
      </w:r>
      <w:r>
        <w:rPr>
          <w:rFonts w:ascii="Times New Roman" w:cs="Times New Roman" w:eastAsia="Times New Roman" w:hAnsi="Times New Roman"/>
          <w:sz w:val="18"/>
          <w:szCs w:val="18"/>
          <w:color w:val="auto"/>
        </w:rPr>
        <w:t>, a holding company of leading specialty contractors serving the electric utility infrastructure, commercial and industrial construction markets in the United States and Canada, announced today its third-quarter and first nine-months 2026 financial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Third Quarter 2026</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quarterly revenues of $1.26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quarterly net income of $60.0 million, or $3.82 per diluted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quarterly EBITDA of $110.0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backlog of $3.68 billion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20"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Rick Swartz, MYR’s President and CEO, said, “Our strong third-quarter results demonstrate the momentum across our business and the strength of our execution. We delivered record quarterly revenues of $1.26 billion, net income of $60.0 million, and EBITDA of $110.0 million, supported by increased activity across both our T&amp;D and C&amp;I segments, including record quarterly C&amp;I revenues. Through the first nine months of 2026, revenues reached $3.34 billion, reflecting healthy demand across our core markets and continued investment in critical electrical infrastructure. As we integrate Valley Electric and Comet Electric and expand our capabilities and geographic reach, we remain focused on disciplined execution, strengthening our customer relationships, and positioning MYR to capitalize on the significant infrastructure opportunities ahead.”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Results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MYR reported third-quarter 2026 revenues of $1.26 billion, an increase of $308.6 million, compared to the third quarter of 2025. Specifically, our Commercial and Industrial (“C&amp;I”) segment reported record quarterly revenues of $704.5 million, an increase of $257.5 million, from the third quarter of 2025, primarily due to an increase in revenue on fixed priced contracts, which included incremental revenues from our acquisition of Valley Electric and Comet Electric (“Valley”). Our Transmission and Distribution (“T&amp;D”) segment reported quarterly revenues of $554.5 million, an increase of $51.1 million, from the third quarter of 2025, due to increases in revenue on T&amp;E contracts, fixed price contracts and unit price contracts.</w:t>
      </w:r>
    </w:p>
    <w:p>
      <w:pPr>
        <w:spacing w:after="0" w:line="6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Consolidated gross profit increased to $171.2 million in the third quarter of 2026, compared to $111.9 million for the third quarter of 2025. The increase in gross profit was due to higher margin and revenues. Gross margin increased to 13.6 percent for the third quarter of 2026 from 11.8 percent for the third quarter of 2025. The increase in gross margin was primarily due to significant changes in our estimated gross profit on certain projects, related to better-than-anticipated productivity and favorable job close outs. Gross margin was also positively impacted during the third quarter of 2026, by the continued benefit of higher margins on certain projects nearing completion, largely due to better-than-anticipated productivity. These margin increases were partially offset by an increase in costs associated with inefficiencies on certain projects. Changes in estimates of gross profit on certain projects resulted in a net gross margin increase of 0.4 percent for the third quarter of 2026, compared to a net gross margin decrease of 0.6 percent for the third quarter of 2025.</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to $81.5 million in the third quarter of 2026, compared to $65.9 million for the third quarter of 2025. The period-over-period increase was primarily due to SG&amp;A expenses associated with Valley, which was recently acquired, an increase in employee incentive compensation costs and an increase in employee-related expenses to support future growth.</w:t>
      </w:r>
    </w:p>
    <w:p>
      <w:pPr>
        <w:spacing w:after="0" w:line="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to $6.1 million in the third quarter of 2026, compared to $1.2 million for the third quarter of 2025. The period-over-period increase was due to amortization related to certain intangible assets acquired with Valley.</w:t>
      </w:r>
    </w:p>
    <w:p>
      <w:pPr>
        <w:spacing w:after="0" w:line="4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 expense increased to $3.6 million in the third quarter of 2026, compared to $1.4 million for the third quarter of 2025. The period-over-period increase was attributable to incremental borrowings incurred in connection with the Valley acquisition.</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Income tax expense was $22.3 million for the third quarter of 2026, with an effective tax rate of 27.1 percent, compared to income tax expense of $12.6 million for the third quarter of 2025, with an effective tax rate of 28.3 percent. The period-over-period change in tax rate was primarily due to a favorable impact from state taxes, partially offset by the impact of the net controlled foreign corporation tested income (“NCTI”), other permanent difference items and a reduction in foreign tax credits.</w:t>
      </w:r>
    </w:p>
    <w:p>
      <w:pPr>
        <w:spacing w:after="0" w:line="4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For the third quarter of 2026, net income was $60.0 million, or $3.82 per diluted share, compared to $32.1 million, or $2.05 per diluted share, for the same period of 2025. Third-quarter 2026 EBITDA, a non-GAAP financial measure, was $110.0 million, compared to $62.7 million in the third quarter of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Nine-Months Results</w:t>
      </w:r>
    </w:p>
    <w:p>
      <w:pPr>
        <w:spacing w:after="0" w:line="20"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MYR reported first nine-months 2026 revenues of $3.34 billion, an increase of $656.8 million, compared to the first nine months of 2025. Specifically, our C&amp;I segment reported revenues of $1.72 billion, an increase of $508.7 million, from the first nine months of 2025, primarily due to an increase in revenue on fixed priced contracts, which included incremental revenues from Valley. Our T&amp;D segment reported revenues of $1.62 billion, an increase of $148.0 million, from the first nine months of 2025, due to increases in revenue on T&amp;E contracts and unit price contracts, partially offset by a decrease in revenue on fixed price contracts.</w:t>
      </w:r>
    </w:p>
    <w:p>
      <w:pPr>
        <w:spacing w:after="0" w:line="7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Consolidated gross profit increased to $448.4 million in the first nine months of 2026, compared to $312.5 million in the first nine months of 2025. The increase in gross profit was due to higher margin and revenues. Gross margin increased to 13.4 percent for the first nine months of 2026 from 11.6 percent for the first nine months of 2025. The increase in gross margin was primarily due to significant changes in our estimated gross profit on certain projects, related to better-than-anticipated productivity, an increase in scope on certain projects and favorable job close outs. These margin increases were partially offset by an increase in costs associated with inefficiencies on certain projects. Changes in estimates of gross profit on certain projects resulted in a net gross margin increase of 0.6 percent for the first nine months of 2026, compared to a net gross margin decrease of 1.3 percent for the first nine months of 2025.</w:t>
      </w:r>
    </w:p>
    <w:p>
      <w:pPr>
        <w:spacing w:after="0" w:line="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SG&amp;A expenses increased to $225.3 million in the first nine months of 2026, compared to $191.8 million for the first nine months of 2025. The period-over-period increase was primarily due to an increase in employee incentive compensation costs, an increase in employee-related expenses to support future growth and SG&amp;A expenses associated with Valley.</w:t>
      </w:r>
    </w:p>
    <w:p>
      <w:pPr>
        <w:spacing w:after="0" w:line="4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to $8.5 million in the first nine months of 2026, compared to $3.6 million for the first nine months of 2025. The period-over-period increase was due to amortization related to certain intangible assets acquired with Valley.</w:t>
      </w:r>
    </w:p>
    <w:p>
      <w:pPr>
        <w:spacing w:after="0" w:line="4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Interest income increased to $2.1 million in the first nine months of 2026, compared to $0.4 million for the first nine months of 2025. The period-over-period increase was attributable to higher average balances held in money market accounts in the first nine months of 2026 as compared to the first nine months of 2025.</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Interest expense increased to $4.9 million in the first nine months of 2026, compared to $4.8 million for the first nine months of 2025. The period-over-period increase was attributable to incremental borrowings during the first nine months of 2026 as compared to the first nine months of 2025 that were incurred in connection with the Valley acquisition.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$56.8 million for the first nine months of 2026, with an effective tax rate of 26.6 percent, compared to income tax expense of</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$33.0 million for the first nine months of 2025, with an effective tax rate of 28.7 percent. The period-over-period change in tax rate was primarily due to a favorable impact from stock compensation excess tax benefits, partially offset by the impact of NCTI and other permanent difference items.</w:t>
      </w:r>
    </w:p>
    <w:p>
      <w:pPr>
        <w:spacing w:after="0" w:line="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2026, net income was $156.7 million, or $9.97 per diluted share, compared to $81.9 million, or $5.20 per diluted share, for the same period of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As of September 30, 2026, MYR's backlog was $3.68 billion, which was an increase of $1.02 billion, or 38.2 percent, from the $2.66 billion reported as of September 30, 2025. As of September 30, 2026, C&amp;I backlog was $2.39 billion and T&amp;D backlog was $1.29 billion.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MYR had $650.5 million of borrowing availability under its new $690.0 million revolving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the Company announced today that its Board of Directors approved a new share repurchase program (the “Repurchase Program”), which will be effective on November 4, 2026, and authorizes the Company to repurchase, in the aggregate, up to $100.0 million of its outstanding shares of common stock from time to time at management’s discretion on the open market or in privately negotiated transactions, including through Rule 10b5-1 trading plans, structured transactions or other means in accordance with applicable securities laws. The amount and timing of repurchases are subject to a variety of factors, including market and business conditions, as well as applicable contractual and legal requirements. The Repurchase Program will expire on November 3, 2027, or when the authorized funds are exhausted, whichever is earlier. The Company is not obligated to acquire any specific amount of common stock, and the Company’s Board of Directors may modify or terminate the Repurchase Program at any time. The Company intends to fund the Repurchase Program with cash on hand and through borrowings under its revolving credit facility.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To supplement MYR’s financial statements presented in accordance with generally accepted accounting principles in the United States (“GAAP”), MYR uses certain non-GAAP measures. Reconciliation to the nearest GAAP measures of all non-GAAP measures included in this press release can be found at the end of this release. MYR’s definitions of these non-GAAP measures may differ from similarly titled measures used by others. These non-GAAP measures should be considered supplemental to, and not a substitute for, financial information prepared in accordance with GAAP.</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MYR believes that these non-GAAP measures are useful because they (i) provide both management and investors meaningful supplemental information regarding financial performance by excluding certain expenses and benefits that may not be indicative of recurring core business operating results, (ii) permit investors to view MYR’s performance using the same tools that management uses to evaluate MYR’s past performance, reportable business segments and prospects for future performance, (iii) publicly disclose results that are relevant to financial covenants included in MYR’s credit facility and (iv) otherwise provide supplemental information that may be useful to investors in evaluating MYR.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18"/>
          <w:szCs w:val="18"/>
          <w:color w:val="auto"/>
        </w:rPr>
        <w:t>MYR will host a conference call to discuss its third-quarter 2026 results on Thursday, October 29, 2026 at 8:00 a.m. Mountain time. Participants may access the audio-only webcast of the conference call from the Investors page of MYR Group’s website at myrgroup.com.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MYR Group Inc.</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MYR Group is a holding company of leading, specialty electrical contractors providing services throughout the United States and Canada through two business segments: Transmission &amp; Distribution (T&amp;D) and Commercial &amp; Industrial (C&amp;I). MYR Group subsidiaries have the experience and expertise to complete electrical installations of any type and size. Through their T&amp;D segment they provide services on electric transmission, distribution networks, substation facilities, clean energy projects and electric vehicle charging infrastructure. Their comprehensive T&amp;D services include design, engineering, procurement, construction, upgrade, maintenance and repair services. T&amp;D customers include investor-owned utilities, cooperatives, private developers, government-funded utilities, independent power producers, independent transmission companies, industrial facility owners and other contractors. Through their C&amp;I segment, they provide a broad range of services which include the design, installation, maintenance and repair of commercial and industrial wiring generally for data centers, clean energy projects, airports, hospitals, hotels, commercial and industrial facilities, manufacturing plants, processing facilities, water/waste-water treatment facilities, mining facilities, intelligent transportation systems, roadway lighting, signalization, stadiums and electric vehicle charging infrastructure. C&amp;I customers include general contractors, commercial and industrial facility owners, government agencies and developers. For more information, visit myrgroup.com.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MYR's business, particularly those mentioned in the risk factors and cautionary statements in Item 1A. of MYR's Annual Report on Form 10-K for the fiscal year ended December 31, 2025, and in any risk factors or cautionary statements contained in MYR's subsequent Quarterly Reports on Form 10-Q or Current Reports on Form 8-K.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MYR Group Inc. Contact:</w:t>
      </w:r>
    </w:p>
    <w:p>
      <w:pPr>
        <w:spacing w:after="0" w:line="31" w:lineRule="exact"/>
        <w:rPr>
          <w:sz w:val="20"/>
          <w:szCs w:val="20"/>
          <w:color w:val="auto"/>
        </w:rPr>
      </w:pPr>
    </w:p>
    <w:p>
      <w:pPr>
        <w:ind w:right="3380"/>
        <w:spacing w:after="0" w:line="386" w:lineRule="auto"/>
        <w:rPr>
          <w:sz w:val="20"/>
          <w:szCs w:val="20"/>
          <w:color w:val="auto"/>
        </w:rPr>
      </w:pPr>
      <w:r>
        <w:rPr>
          <w:rFonts w:ascii="Times New Roman" w:cs="Times New Roman" w:eastAsia="Times New Roman" w:hAnsi="Times New Roman"/>
          <w:sz w:val="18"/>
          <w:szCs w:val="18"/>
          <w:color w:val="auto"/>
        </w:rPr>
        <w:t xml:space="preserve">Jennifer Harper, Vice President, Investor Relations &amp; Treasurer, 847-979-5835, </w:t>
      </w:r>
      <w:r>
        <w:rPr>
          <w:rFonts w:ascii="Times New Roman" w:cs="Times New Roman" w:eastAsia="Times New Roman" w:hAnsi="Times New Roman"/>
          <w:sz w:val="18"/>
          <w:szCs w:val="18"/>
          <w:u w:val="single" w:color="auto"/>
          <w:color w:val="auto"/>
        </w:rPr>
        <w:t>investorinfo@myrgroup.com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tables follow…</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2026 and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08"/>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488"/>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tcBorders>
              <w:top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5420" w:type="dxa"/>
            <w:vAlign w:val="bottom"/>
            <w:shd w:val="clear" w:color="auto" w:fill="CCEEFF"/>
          </w:tcPr>
          <w:p>
            <w:pPr>
              <w:jc w:val="center"/>
              <w:ind w:right="28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allowances of $1,250 and $934, respectively</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603,735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Contract assets, net of allowances of $756 and $534, respectively</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Refundable income taxes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54,982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1,187,187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1,060,761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$443,756 and $413,962, respectively</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115,266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 of $47,948 and $39,967, respectively</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2,107,546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1,644,079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5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314,789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Contract liabilities, net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Accrued income taxes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889,397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795,277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self-insurance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1,288,561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September 30, 2026 and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December 31, 2025</w:t>
            </w: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15,570,008 and 15,522,834 shares issued and outstanding at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165,211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659,609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503,240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818,985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2,107,546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1,644,079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5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80" w:type="dxa"/>
            <w:vAlign w:val="bottom"/>
          </w:tcPr>
          <w:p>
            <w:pPr>
              <w:spacing w:after="0"/>
              <w:rPr>
                <w:sz w:val="16"/>
                <w:szCs w:val="16"/>
                <w:color w:val="auto"/>
              </w:rPr>
            </w:pPr>
          </w:p>
        </w:tc>
        <w:tc>
          <w:tcPr>
            <w:tcW w:w="122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2,684,345</w:t>
            </w:r>
          </w:p>
        </w:tc>
      </w:tr>
      <w:tr>
        <w:trPr>
          <w:trHeight w:val="229"/>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1,087,791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2,892,785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2,371,841</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312,504</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191,756</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29"/>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120,348</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20" w:type="dxa"/>
            <w:vAlign w:val="bottom"/>
          </w:tcPr>
          <w:p>
            <w:pPr>
              <w:spacing w:after="0"/>
              <w:rPr>
                <w:sz w:val="19"/>
                <w:szCs w:val="19"/>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3"/>
        </w:trPr>
        <w:tc>
          <w:tcPr>
            <w:tcW w:w="20" w:type="dxa"/>
            <w:vAlign w:val="bottom"/>
          </w:tcPr>
          <w:p>
            <w:pPr>
              <w:spacing w:after="0"/>
              <w:rPr>
                <w:sz w:val="19"/>
                <w:szCs w:val="19"/>
                <w:color w:val="auto"/>
              </w:rPr>
            </w:pPr>
          </w:p>
        </w:tc>
        <w:tc>
          <w:tcPr>
            <w:tcW w:w="5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114,892</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r>
      <w:tr>
        <w:trPr>
          <w:trHeight w:val="196"/>
        </w:trPr>
        <w:tc>
          <w:tcPr>
            <w:tcW w:w="20" w:type="dxa"/>
            <w:vAlign w:val="bottom"/>
          </w:tcPr>
          <w:p>
            <w:pPr>
              <w:spacing w:after="0"/>
              <w:rPr>
                <w:sz w:val="17"/>
                <w:szCs w:val="17"/>
                <w:color w:val="auto"/>
              </w:rPr>
            </w:pPr>
          </w:p>
        </w:tc>
        <w:tc>
          <w:tcPr>
            <w:tcW w:w="5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60,005</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32,094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156,656</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81,868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per common share: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70"/>
        </w:trPr>
        <w:tc>
          <w:tcPr>
            <w:tcW w:w="2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175"/>
        </w:trPr>
        <w:tc>
          <w:tcPr>
            <w:tcW w:w="20" w:type="dxa"/>
            <w:vAlign w:val="bottom"/>
          </w:tcPr>
          <w:p>
            <w:pPr>
              <w:spacing w:after="0"/>
              <w:rPr>
                <w:sz w:val="15"/>
                <w:szCs w:val="15"/>
                <w:color w:val="auto"/>
              </w:rPr>
            </w:pPr>
          </w:p>
        </w:tc>
        <w:tc>
          <w:tcPr>
            <w:tcW w:w="5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and potential common</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4"/>
        </w:trPr>
        <w:tc>
          <w:tcPr>
            <w:tcW w:w="20" w:type="dxa"/>
            <w:vAlign w:val="bottom"/>
            <w:shd w:val="clear" w:color="auto" w:fill="CCEEFF"/>
          </w:tcPr>
          <w:p>
            <w:pPr>
              <w:spacing w:after="0"/>
              <w:rPr>
                <w:sz w:val="23"/>
                <w:szCs w:val="23"/>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r>
      <w:tr>
        <w:trPr>
          <w:trHeight w:val="270"/>
        </w:trPr>
        <w:tc>
          <w:tcPr>
            <w:tcW w:w="20" w:type="dxa"/>
            <w:vAlign w:val="bottom"/>
          </w:tcPr>
          <w:p>
            <w:pPr>
              <w:spacing w:after="0"/>
              <w:rPr>
                <w:sz w:val="23"/>
                <w:szCs w:val="23"/>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r>
      <w:tr>
        <w:trPr>
          <w:trHeight w:val="904"/>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and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8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080" w:type="dxa"/>
            <w:vAlign w:val="bottom"/>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jc w:val="right"/>
              <w:ind w:right="47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156,656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81,868</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45,664</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9,808</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non-cash items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53,714</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Contract assets,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(38,538)</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14,241</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Contract liabilities,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(31,113)</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self-insurance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64,907</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211,737</w:t>
            </w:r>
          </w:p>
        </w:tc>
      </w:tr>
      <w:tr>
        <w:trPr>
          <w:trHeight w:val="194"/>
        </w:trPr>
        <w:tc>
          <w:tcPr>
            <w:tcW w:w="20" w:type="dxa"/>
            <w:vAlign w:val="bottom"/>
          </w:tcPr>
          <w:p>
            <w:pPr>
              <w:spacing w:after="0"/>
              <w:rPr>
                <w:sz w:val="16"/>
                <w:szCs w:val="16"/>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paid for acquired business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(324,788)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(64,467)</w:t>
            </w:r>
          </w:p>
        </w:tc>
      </w:tr>
      <w:tr>
        <w:trPr>
          <w:trHeight w:val="207"/>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(402,743)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(58,453)</w:t>
            </w:r>
          </w:p>
        </w:tc>
      </w:tr>
      <w:tr>
        <w:trPr>
          <w:trHeight w:val="199"/>
        </w:trPr>
        <w:tc>
          <w:tcPr>
            <w:tcW w:w="20" w:type="dxa"/>
            <w:vAlign w:val="bottom"/>
            <w:shd w:val="clear" w:color="auto" w:fill="CCEEFF"/>
          </w:tcPr>
          <w:p>
            <w:pPr>
              <w:spacing w:after="0"/>
              <w:rPr>
                <w:sz w:val="17"/>
                <w:szCs w:val="17"/>
                <w:color w:val="auto"/>
              </w:rPr>
            </w:pPr>
          </w:p>
        </w:tc>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786,645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635,003</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(633,048)</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Borrowing under term loans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13"/>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Debt refinancing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13"/>
        </w:trPr>
        <w:tc>
          <w:tcPr>
            <w:tcW w:w="20" w:type="dxa"/>
            <w:vAlign w:val="bottom"/>
            <w:tcBorders>
              <w:bottom w:val="single" w:sz="8" w:color="CCEEFF"/>
            </w:tcBorders>
          </w:tcPr>
          <w:p>
            <w:pPr>
              <w:spacing w:after="0"/>
              <w:rPr>
                <w:sz w:val="18"/>
                <w:szCs w:val="18"/>
                <w:color w:val="auto"/>
              </w:rPr>
            </w:pPr>
          </w:p>
        </w:tc>
        <w:tc>
          <w:tcPr>
            <w:tcW w:w="8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(80,902)</w:t>
            </w:r>
          </w:p>
        </w:tc>
      </w:tr>
      <w:tr>
        <w:trPr>
          <w:trHeight w:val="207"/>
        </w:trPr>
        <w:tc>
          <w:tcPr>
            <w:tcW w:w="20" w:type="dxa"/>
            <w:vAlign w:val="bottom"/>
            <w:tcBorders>
              <w:bottom w:val="single" w:sz="8" w:color="CCEEFF"/>
            </w:tcBorders>
          </w:tcPr>
          <w:p>
            <w:pPr>
              <w:spacing w:after="0"/>
              <w:rPr>
                <w:sz w:val="17"/>
                <w:szCs w:val="17"/>
                <w:color w:val="auto"/>
              </w:rPr>
            </w:pPr>
          </w:p>
        </w:tc>
        <w:tc>
          <w:tcPr>
            <w:tcW w:w="832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2"/>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r>
      <w:tr>
        <w:trPr>
          <w:trHeight w:val="214"/>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8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150,156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r>
      <w:tr>
        <w:trPr>
          <w:trHeight w:val="212"/>
        </w:trPr>
        <w:tc>
          <w:tcPr>
            <w:tcW w:w="20" w:type="dxa"/>
            <w:vAlign w:val="bottom"/>
          </w:tcPr>
          <w:p>
            <w:pPr>
              <w:spacing w:after="0"/>
              <w:rPr>
                <w:sz w:val="18"/>
                <w:szCs w:val="18"/>
                <w:color w:val="auto"/>
              </w:rPr>
            </w:pPr>
          </w:p>
        </w:tc>
        <w:tc>
          <w:tcPr>
            <w:tcW w:w="8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76,211</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4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Selected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Measure and Reconciliation of Non-GAAP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Nine and Twelve Months Ended September 30, 2026 and 2025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2026, December 31, 2025, September 30, 2025 and September 30,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8"/>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Last twelve months ended</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tc>
        <w:tc>
          <w:tcPr>
            <w:tcW w:w="300" w:type="dxa"/>
            <w:vAlign w:val="bottom"/>
          </w:tcPr>
          <w:p>
            <w:pPr>
              <w:spacing w:after="0"/>
              <w:rPr>
                <w:sz w:val="15"/>
                <w:szCs w:val="15"/>
                <w:color w:val="auto"/>
              </w:rPr>
            </w:pPr>
          </w:p>
        </w:tc>
        <w:tc>
          <w:tcPr>
            <w:tcW w:w="940" w:type="dxa"/>
            <w:vAlign w:val="bottom"/>
            <w:gridSpan w:val="3"/>
          </w:tcPr>
          <w:p>
            <w:pPr>
              <w:ind w:left="24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3"/>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Statement of Operations Data:</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1,259,032</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4,314,683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3,514,140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171,241</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559,636</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398,449</w:t>
            </w: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85,106</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46,271</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264,297</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150,505</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82,335</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259,883</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141,896</w:t>
            </w: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22,330</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12,637</w:t>
            </w: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66,679</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44,076</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193,204</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97,820</w:t>
            </w: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Tax rate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27.1 %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28.3 %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25.7 %</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31.1 %</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per common share: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7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7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7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gridSpan w:val="3"/>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and potential</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Basic</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15,556</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15,794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15,696</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15,862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right"/>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34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818,985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660,423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617,588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588,509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funded debt (3)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215,770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59,037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3"/>
          </w:tcPr>
          <w:p>
            <w:pPr>
              <w:ind w:left="120"/>
              <w:spacing w:after="0" w:line="203" w:lineRule="exact"/>
              <w:rPr>
                <w:sz w:val="20"/>
                <w:szCs w:val="20"/>
                <w:color w:val="auto"/>
              </w:rPr>
            </w:pPr>
            <w:r>
              <w:rPr>
                <w:rFonts w:ascii="Times New Roman" w:cs="Times New Roman" w:eastAsia="Times New Roman" w:hAnsi="Times New Roman"/>
                <w:sz w:val="18"/>
                <w:szCs w:val="18"/>
                <w:color w:val="auto"/>
              </w:rPr>
              <w:t>71,976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93,186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8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9"/>
                <w:szCs w:val="19"/>
                <w:color w:val="auto"/>
              </w:rPr>
            </w:pPr>
          </w:p>
        </w:tc>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704,488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446,964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1,721,603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1,259,032</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3,341,139</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2,684,345</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85,106</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217,773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at the end of this earnings release</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143"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Measures and Reconciliation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Twelve Months Ended September 30,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5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Last twelve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5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tcBorders>
              <w:bottom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 share, per share data, ratios and percentages)</w:t>
            </w:r>
          </w:p>
        </w:tc>
        <w:tc>
          <w:tcPr>
            <w:tcW w:w="8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 (4):</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340,730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EBITDA per Diluted Share (6)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EBIA, net of taxes (7)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203,008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Free Cash Flow (8)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137,106</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156,085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Book Value per Period End Share (9)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Tangible Book Value (10)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364,085</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Book Value per Period End Share (11)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Funded Debt to Equity Ratio (12)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Turnover (13)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Return on Assets (14)</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Return on Equity (15)</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Return on Invested Capital (16)</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Non-GAAP Measures: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193,204</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97,820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66,679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77,371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EBITDA (5)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340,730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213,986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Net Income per Diluted Share to EBITDA per Diluted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Interest expense, net, per share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per share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per Diluted Share (6)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193,204</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97,820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impact of interest and 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EBIA, net of taxes (7)</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203,008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105,562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Calculation of Free Cash Flow:</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248,985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232,856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Less: cash used in purchasing property and equipment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(111,879)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(76,771)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137,106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156,085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at the end of this earnings release.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98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Performance Measures and Reconciliation of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2026,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6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Book Value to Tangible Book Value: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Book value (total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818,985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(454,900)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Tangible Book Value (10)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364,085</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Reconciliation of Book Value per Period End Share to Tangible Book Value per Period End Share: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Book value per period end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Goodwill and intangible assets per period end share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Tangible Book Value per Period End Share (11)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Calculation of Period End Shares: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Plus: common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 End Shares (17)</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45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Invested Capital to Shareholders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 value (total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Plus: total funded debt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Invested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613,353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Invested Capital (18)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811,049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643,740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at the end of this 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81" w:right="339" w:bottom="1440" w:gutter="0" w:footer="0" w:header="0"/>
        </w:sectPr>
      </w:pPr>
    </w:p>
    <w:bookmarkStart w:id="12" w:name="page13"/>
    <w:bookmarkEnd w:id="12"/>
    <w:p>
      <w:pPr>
        <w:ind w:left="812" w:hanging="812"/>
        <w:spacing w:after="0"/>
        <w:tabs>
          <w:tab w:leader="none" w:pos="81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Last-twelve-months earnings per share is the sum of earnings per share reported in the last four quarters.</w:t>
      </w:r>
    </w:p>
    <w:p>
      <w:pPr>
        <w:spacing w:after="0" w:line="25" w:lineRule="exact"/>
        <w:rPr>
          <w:rFonts w:ascii="Times New Roman" w:cs="Times New Roman" w:eastAsia="Times New Roman" w:hAnsi="Times New Roman"/>
          <w:sz w:val="17"/>
          <w:szCs w:val="17"/>
          <w:color w:val="auto"/>
        </w:rPr>
      </w:pPr>
    </w:p>
    <w:p>
      <w:pPr>
        <w:ind w:left="812" w:right="540" w:hanging="812"/>
        <w:spacing w:after="0" w:line="249" w:lineRule="auto"/>
        <w:tabs>
          <w:tab w:leader="none" w:pos="8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Last-twelve-months weighted average basic and diluted shares were determined by adding the weighted average shares reported for the last four quarters and dividing by four.</w:t>
      </w:r>
    </w:p>
    <w:p>
      <w:pPr>
        <w:spacing w:after="0" w:line="1" w:lineRule="exact"/>
        <w:rPr>
          <w:rFonts w:ascii="Times New Roman" w:cs="Times New Roman" w:eastAsia="Times New Roman" w:hAnsi="Times New Roman"/>
          <w:sz w:val="17"/>
          <w:szCs w:val="17"/>
          <w:color w:val="auto"/>
        </w:rPr>
      </w:pPr>
    </w:p>
    <w:p>
      <w:pPr>
        <w:ind w:left="812" w:hanging="812"/>
        <w:spacing w:after="0"/>
        <w:tabs>
          <w:tab w:leader="none" w:pos="81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Funded debt includes outstanding borrowings under our revolving credit facility, term loan credit facility and our outstanding equipment notes.</w:t>
      </w:r>
    </w:p>
    <w:p>
      <w:pPr>
        <w:spacing w:after="0" w:line="18" w:lineRule="exact"/>
        <w:rPr>
          <w:rFonts w:ascii="Times New Roman" w:cs="Times New Roman" w:eastAsia="Times New Roman" w:hAnsi="Times New Roman"/>
          <w:sz w:val="17"/>
          <w:szCs w:val="17"/>
          <w:color w:val="auto"/>
        </w:rPr>
      </w:pPr>
    </w:p>
    <w:p>
      <w:pPr>
        <w:ind w:left="812" w:hanging="812"/>
        <w:spacing w:after="0" w:line="251" w:lineRule="auto"/>
        <w:tabs>
          <w:tab w:leader="none" w:pos="8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financial performance measures are provided as supplemental information to the financial statements. These measures are used by management to evaluate our past performance, our prospects for future performance and our ability to comply with certain material covenants as defined within our credit agreement, and to compare our results with those of our peers. In addition, we believe that certain of the measures, such as book value, tangible book value, free cash flow, asset turnover, return on equity, and debt leverage are measures that are monitored by sureties, lenders, lessors, suppliers and certain investors. Our calculation of each measure is described in the following notes; our calculation may not be the same as the calculations made by other companies.</w:t>
      </w:r>
    </w:p>
    <w:p>
      <w:pPr>
        <w:spacing w:after="0" w:line="1" w:lineRule="exact"/>
        <w:rPr>
          <w:rFonts w:ascii="Times New Roman" w:cs="Times New Roman" w:eastAsia="Times New Roman" w:hAnsi="Times New Roman"/>
          <w:sz w:val="17"/>
          <w:szCs w:val="17"/>
          <w:color w:val="auto"/>
        </w:rPr>
      </w:pPr>
    </w:p>
    <w:p>
      <w:pPr>
        <w:ind w:left="812" w:hanging="812"/>
        <w:spacing w:after="0" w:line="251" w:lineRule="auto"/>
        <w:tabs>
          <w:tab w:leader="none" w:pos="8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is defined as earnings before interest, taxes, depreciation and amortization. EBITDA is not recognized under GAAP and does not purport to be an alternative to net income as a measure of operating performance or to net cash flows provided by operating activities as a measure of liquidity. Certain material covenants contained within our credit agreement are based on EBITDA with certain additional adjustments, including our interest coverage ratio and leverage ratio, which we must comply with to avoid potential immediate repayment of amounts borrowed or additional fees to seek relief from our lenders. In addition, management considers EBITDA a useful measure because it provides MYR Group Inc. and its investors with an additional tool to compare our operating performance on a consistent basis by removing the impact of certain items that management believes to not directly reflect the company’s core operations. Management further believes that EBITDA is useful to investors and other external users of our financial statements in evaluating the company’s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5" w:lineRule="exact"/>
        <w:rPr>
          <w:rFonts w:ascii="Times New Roman" w:cs="Times New Roman" w:eastAsia="Times New Roman" w:hAnsi="Times New Roman"/>
          <w:sz w:val="17"/>
          <w:szCs w:val="17"/>
          <w:color w:val="auto"/>
        </w:rPr>
      </w:pPr>
    </w:p>
    <w:p>
      <w:pPr>
        <w:ind w:left="812" w:right="240" w:hanging="812"/>
        <w:spacing w:after="0" w:line="248" w:lineRule="auto"/>
        <w:tabs>
          <w:tab w:leader="none" w:pos="8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per diluted share is calculated by dividing EBITDA by the weighted average number of diluted shares outstanding for the period. EBITDA per diluted share is not recognized under GAAP and does not purport to be an alternative to income per diluted share.</w:t>
      </w:r>
    </w:p>
    <w:p>
      <w:pPr>
        <w:spacing w:after="0" w:line="1" w:lineRule="exact"/>
        <w:rPr>
          <w:rFonts w:ascii="Times New Roman" w:cs="Times New Roman" w:eastAsia="Times New Roman" w:hAnsi="Times New Roman"/>
          <w:sz w:val="17"/>
          <w:szCs w:val="17"/>
          <w:color w:val="auto"/>
        </w:rPr>
      </w:pPr>
    </w:p>
    <w:p>
      <w:pPr>
        <w:ind w:left="812" w:right="20" w:hanging="812"/>
        <w:spacing w:after="0" w:line="252" w:lineRule="auto"/>
        <w:tabs>
          <w:tab w:leader="none" w:pos="8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EBIA, net of taxes is defined as net income plus net interest plus amortization of intangible assets, less the tax impact of net interest and amortization of intangible assets. The tax impact of net interest and amortization of intangible assets is computed by multiplying net interest and amortization of intangible assets by the effective tax rate. Management uses EBIA, net of taxes, to measure our results exclusive of the impact of financing and amortization of intangible assets costs.</w:t>
      </w:r>
    </w:p>
    <w:p>
      <w:pPr>
        <w:spacing w:after="0" w:line="2" w:lineRule="exact"/>
        <w:rPr>
          <w:rFonts w:ascii="Times New Roman" w:cs="Times New Roman" w:eastAsia="Times New Roman" w:hAnsi="Times New Roman"/>
          <w:sz w:val="17"/>
          <w:szCs w:val="17"/>
          <w:color w:val="auto"/>
        </w:rPr>
      </w:pPr>
    </w:p>
    <w:p>
      <w:pPr>
        <w:ind w:left="812" w:right="120" w:hanging="812"/>
        <w:spacing w:after="0" w:line="249" w:lineRule="auto"/>
        <w:tabs>
          <w:tab w:leader="none" w:pos="8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cash flow, which is defined as cash flow provided by operating activities minus cash flow used in purchasing property and equipment, is not recognized under GAAP and does not purport to be an alternative to net income, cash flow from operations or the change in cash on the balance sheet. Management views free cash flow as a measure of operational performance, liquidity and financial health.</w:t>
      </w:r>
    </w:p>
    <w:p>
      <w:pPr>
        <w:ind w:left="812" w:hanging="812"/>
        <w:spacing w:after="0"/>
        <w:tabs>
          <w:tab w:leader="none" w:pos="81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 per period end share is calculated by dividing total shareholders’ equity at the end of the period by the period end shares outstanding.</w:t>
      </w:r>
    </w:p>
    <w:p>
      <w:pPr>
        <w:spacing w:after="0" w:line="18" w:lineRule="exact"/>
        <w:rPr>
          <w:rFonts w:ascii="Times New Roman" w:cs="Times New Roman" w:eastAsia="Times New Roman" w:hAnsi="Times New Roman"/>
          <w:sz w:val="17"/>
          <w:szCs w:val="17"/>
          <w:color w:val="auto"/>
        </w:rPr>
      </w:pPr>
    </w:p>
    <w:p>
      <w:pPr>
        <w:ind w:left="812" w:right="60" w:hanging="812"/>
        <w:spacing w:after="0" w:line="248" w:lineRule="auto"/>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Tangible book value is calculated by subtracting goodwill and intangible assets outstanding at the end of the period from shareholders’ equity. Tangible book value is not recognized under GAAP and does not purport to be an alternative to book value or shareholders’ equity.</w:t>
      </w:r>
    </w:p>
    <w:p>
      <w:pPr>
        <w:spacing w:after="0" w:line="1" w:lineRule="exact"/>
        <w:rPr>
          <w:rFonts w:ascii="Times New Roman" w:cs="Times New Roman" w:eastAsia="Times New Roman" w:hAnsi="Times New Roman"/>
          <w:sz w:val="17"/>
          <w:szCs w:val="17"/>
          <w:color w:val="auto"/>
        </w:rPr>
      </w:pPr>
    </w:p>
    <w:p>
      <w:pPr>
        <w:ind w:left="812" w:right="240" w:hanging="812"/>
        <w:spacing w:after="0" w:line="254" w:lineRule="auto"/>
        <w:tabs>
          <w:tab w:leader="none" w:pos="79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Tangible book value per period end share is calculated by dividing tangible book value at the end of the period by the period end number of shares outstanding. Tangible book value per period end share is not recognized under GAAP and does not purport to be an alternative to income per diluted share.</w:t>
      </w:r>
    </w:p>
    <w:p>
      <w:pPr>
        <w:ind w:left="792" w:hanging="792"/>
        <w:spacing w:after="0"/>
        <w:tabs>
          <w:tab w:leader="none" w:pos="7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funded debt to equity ratio is calculated by dividing total funded debt at the end of the period by total shareholders’ equity at the end of the period.</w:t>
      </w:r>
    </w:p>
    <w:p>
      <w:pPr>
        <w:spacing w:after="0" w:line="7" w:lineRule="exact"/>
        <w:rPr>
          <w:rFonts w:ascii="Times New Roman" w:cs="Times New Roman" w:eastAsia="Times New Roman" w:hAnsi="Times New Roman"/>
          <w:sz w:val="17"/>
          <w:szCs w:val="17"/>
          <w:color w:val="auto"/>
        </w:rPr>
      </w:pPr>
    </w:p>
    <w:p>
      <w:pPr>
        <w:ind w:left="792" w:hanging="792"/>
        <w:spacing w:after="0"/>
        <w:tabs>
          <w:tab w:leader="none" w:pos="7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turnover is calculated by dividing the current period revenue by total assets at the beginning of the period.</w:t>
      </w:r>
    </w:p>
    <w:p>
      <w:pPr>
        <w:spacing w:after="0" w:line="7" w:lineRule="exact"/>
        <w:rPr>
          <w:rFonts w:ascii="Times New Roman" w:cs="Times New Roman" w:eastAsia="Times New Roman" w:hAnsi="Times New Roman"/>
          <w:sz w:val="17"/>
          <w:szCs w:val="17"/>
          <w:color w:val="auto"/>
        </w:rPr>
      </w:pPr>
    </w:p>
    <w:p>
      <w:pPr>
        <w:ind w:left="792" w:hanging="792"/>
        <w:spacing w:after="0"/>
        <w:tabs>
          <w:tab w:leader="none" w:pos="7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assets is calculated by dividing net income for the period by total assets at the beginning of the period.</w:t>
      </w:r>
    </w:p>
    <w:p>
      <w:pPr>
        <w:spacing w:after="0" w:line="7" w:lineRule="exact"/>
        <w:rPr>
          <w:rFonts w:ascii="Times New Roman" w:cs="Times New Roman" w:eastAsia="Times New Roman" w:hAnsi="Times New Roman"/>
          <w:sz w:val="17"/>
          <w:szCs w:val="17"/>
          <w:color w:val="auto"/>
        </w:rPr>
      </w:pPr>
    </w:p>
    <w:p>
      <w:pPr>
        <w:ind w:left="792" w:hanging="792"/>
        <w:spacing w:after="0"/>
        <w:tabs>
          <w:tab w:leader="none" w:pos="79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equity is calculated by dividing net income for the period by total shareholders’ equity at the beginning of the period.</w:t>
      </w:r>
    </w:p>
    <w:p>
      <w:pPr>
        <w:spacing w:after="0" w:line="8" w:lineRule="exact"/>
        <w:rPr>
          <w:rFonts w:ascii="Times New Roman" w:cs="Times New Roman" w:eastAsia="Times New Roman" w:hAnsi="Times New Roman"/>
          <w:sz w:val="17"/>
          <w:szCs w:val="17"/>
          <w:color w:val="auto"/>
        </w:rPr>
      </w:pPr>
    </w:p>
    <w:p>
      <w:pPr>
        <w:ind w:left="812" w:right="20" w:hanging="812"/>
        <w:spacing w:after="0" w:line="255" w:lineRule="auto"/>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invested capital is calculated by dividing EBIA, net of taxes, less any dividends, by average invested capital. Return on invested capital is not recognized under GAAP, and is a key metric used by management to determine our executive compensation.</w:t>
      </w:r>
    </w:p>
    <w:p>
      <w:pPr>
        <w:spacing w:after="0" w:line="1" w:lineRule="exact"/>
        <w:rPr>
          <w:rFonts w:ascii="Times New Roman" w:cs="Times New Roman" w:eastAsia="Times New Roman" w:hAnsi="Times New Roman"/>
          <w:sz w:val="17"/>
          <w:szCs w:val="17"/>
          <w:color w:val="auto"/>
        </w:rPr>
      </w:pPr>
    </w:p>
    <w:p>
      <w:pPr>
        <w:ind w:left="812" w:right="120" w:hanging="812"/>
        <w:spacing w:after="0" w:line="248" w:lineRule="auto"/>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 end shares is calculated by adding average common stock equivalents for the quarter to the period end balance of common stock outstanding. Period end shares is not recognized under GAAP and does not purport to be an alternative to diluted shares. Management views period end shares as a better measure of shares outstanding as of the end of the period.</w:t>
      </w:r>
    </w:p>
    <w:p>
      <w:pPr>
        <w:spacing w:after="0" w:line="1" w:lineRule="exact"/>
        <w:rPr>
          <w:rFonts w:ascii="Times New Roman" w:cs="Times New Roman" w:eastAsia="Times New Roman" w:hAnsi="Times New Roman"/>
          <w:sz w:val="17"/>
          <w:szCs w:val="17"/>
          <w:color w:val="auto"/>
        </w:rPr>
      </w:pPr>
    </w:p>
    <w:p>
      <w:pPr>
        <w:ind w:left="812" w:right="40" w:hanging="812"/>
        <w:spacing w:after="0" w:line="275" w:lineRule="auto"/>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invested capital is calculated by adding net funded debt (total funded debt less cash and marketable securities) to total shareholders’ equity and calculating the average of the beginning and ending of each period.</w:t>
      </w:r>
    </w:p>
    <w:p>
      <w:pPr>
        <w:spacing w:after="0" w:line="3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12"/>
      </w:cols>
      <w:pgMar w:left="328" w:top="9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2026-10-28T15:06:36Z</dcterms:created>
  <dcterms:modified xsi:type="dcterms:W3CDTF">2026-10-28T15:06:36Z</dcterms:modified>
</cp:coreProperties>
</file>