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29, 2025 (April 24,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1204" w:right="319" w:bottom="1440" w:gutter="0" w:footer="0" w:header="0"/>
        </w:sectPr>
      </w:pPr>
    </w:p>
    <w:p>
      <w:pPr>
        <w:spacing w:after="0" w:line="24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1-08325</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36-3158643</w:t>
      </w:r>
    </w:p>
    <w:p>
      <w:pPr>
        <w:spacing w:after="0" w:line="1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60"/>
          </w:cols>
          <w:pgMar w:left="320" w:top="1204" w:right="319" w:bottom="1440" w:gutter="0" w:footer="0" w:header="0"/>
          <w:type w:val="continuous"/>
        </w:sectPr>
      </w:pPr>
    </w:p>
    <w:p>
      <w:pPr>
        <w:spacing w:after="0" w:line="123"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12121 Grant Street,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Suite 610</w:t>
      </w:r>
    </w:p>
    <w:p>
      <w:pPr>
        <w:spacing w:after="0" w:line="75" w:lineRule="exact"/>
        <w:rPr>
          <w:sz w:val="24"/>
          <w:szCs w:val="24"/>
          <w:color w:val="auto"/>
        </w:rPr>
      </w:pPr>
    </w:p>
    <w:p>
      <w:pPr>
        <w:sectPr>
          <w:pgSz w:w="11900" w:h="16838" w:orient="portrait"/>
          <w:cols w:equalWidth="0" w:num="2">
            <w:col w:w="2040" w:space="460"/>
            <w:col w:w="8760"/>
          </w:cols>
          <w:pgMar w:left="320" w:top="1204" w:right="319" w:bottom="1440" w:gutter="0" w:footer="0" w:header="0"/>
          <w:type w:val="continuous"/>
        </w:sectPr>
      </w:pPr>
    </w:p>
    <w:p>
      <w:pPr>
        <w:ind w:left="540"/>
        <w:spacing w:after="0"/>
        <w:tabs>
          <w:tab w:leader="none" w:pos="1620" w:val="left"/>
        </w:tabs>
        <w:rPr>
          <w:sz w:val="20"/>
          <w:szCs w:val="20"/>
          <w:color w:val="auto"/>
        </w:rPr>
      </w:pPr>
      <w:r>
        <w:rPr>
          <w:rFonts w:ascii="Times New Roman" w:cs="Times New Roman" w:eastAsia="Times New Roman" w:hAnsi="Times New Roman"/>
          <w:sz w:val="17"/>
          <w:szCs w:val="17"/>
          <w:b w:val="1"/>
          <w:bCs w:val="1"/>
          <w:color w:val="auto"/>
        </w:rPr>
        <w:t>Thornton,</w:t>
      </w:r>
      <w:r>
        <w:rPr>
          <w:sz w:val="20"/>
          <w:szCs w:val="20"/>
          <w:color w:val="auto"/>
        </w:rPr>
        <w:tab/>
      </w:r>
      <w:r>
        <w:rPr>
          <w:rFonts w:ascii="Times New Roman" w:cs="Times New Roman" w:eastAsia="Times New Roman" w:hAnsi="Times New Roman"/>
          <w:sz w:val="17"/>
          <w:szCs w:val="17"/>
          <w:b w:val="1"/>
          <w:bCs w:val="1"/>
          <w:color w:val="auto"/>
        </w:rPr>
        <w:t>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80241</w:t>
      </w:r>
    </w:p>
    <w:p>
      <w:pPr>
        <w:spacing w:after="0" w:line="72" w:lineRule="exact"/>
        <w:rPr>
          <w:sz w:val="24"/>
          <w:szCs w:val="24"/>
          <w:color w:val="auto"/>
        </w:rPr>
      </w:pPr>
    </w:p>
    <w:p>
      <w:pPr>
        <w:sectPr>
          <w:pgSz w:w="11900" w:h="16838" w:orient="portrait"/>
          <w:cols w:equalWidth="0" w:num="2">
            <w:col w:w="8700" w:space="720"/>
            <w:col w:w="1840"/>
          </w:cols>
          <w:pgMar w:left="320" w:top="1204" w:right="31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8560" w:space="720"/>
            <w:col w:w="1980"/>
          </w:cols>
          <w:pgMar w:left="320" w:top="1204" w:right="319" w:bottom="1440" w:gutter="0" w:footer="0" w:header="0"/>
          <w:type w:val="continuous"/>
        </w:sectPr>
      </w:pPr>
    </w:p>
    <w:p>
      <w:pPr>
        <w:spacing w:after="0" w:line="9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286-8000</w:t>
      </w:r>
    </w:p>
    <w:p>
      <w:pPr>
        <w:spacing w:after="0" w:line="185"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0"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80" w:firstLine="26"/>
        <w:spacing w:after="0" w:line="550"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3820" w:type="dxa"/>
            <w:vAlign w:val="bottom"/>
            <w:tcBorders>
              <w:left w:val="single" w:sz="8" w:color="auto"/>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38" w:lineRule="exact"/>
        <w:rPr>
          <w:sz w:val="24"/>
          <w:szCs w:val="24"/>
          <w:color w:val="auto"/>
        </w:rPr>
      </w:pPr>
    </w:p>
    <w:p>
      <w:pPr>
        <w:jc w:val="both"/>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04" w:right="31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At MYR Group, Inc.'s ("MYR" or the "Company") Annual Meeting of Stockholders (the "Annual Meeting") on April 24, 2025, the Company’s stockholders considered three proposals, each of which is described in more detail in the Company’s 2025 Definitive Proxy Statement, filed with the Securities and Exchange Commission on March 5, 2025. The matters voted upon at the Annual Meeting and the results of the votes were as follows:</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1. Election of Two Class III Director Nominees for One Year Terms.</w:t>
      </w:r>
      <w:r>
        <w:rPr>
          <w:rFonts w:ascii="Times New Roman" w:cs="Times New Roman" w:eastAsia="Times New Roman" w:hAnsi="Times New Roman"/>
          <w:sz w:val="18"/>
          <w:szCs w:val="18"/>
          <w:color w:val="auto"/>
        </w:rPr>
        <w:t xml:space="preserve"> The stockholders elected two Class III director nominees, Bradley T. Favreau and Ajoy H. Karna, each to serve a one-year term expiring at the 2026 Annual Meeting of Stockholders or until his or her successor has been duly elected and qualified.</w:t>
      </w:r>
    </w:p>
    <w:p>
      <w:pPr>
        <w:spacing w:after="0" w:line="200" w:lineRule="exact"/>
        <w:rPr>
          <w:sz w:val="20"/>
          <w:szCs w:val="20"/>
          <w:color w:val="auto"/>
        </w:rPr>
      </w:pPr>
    </w:p>
    <w:p>
      <w:pPr>
        <w:spacing w:after="0" w:line="232"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For</w:t>
            </w:r>
          </w:p>
        </w:tc>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Votes Against</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Abstentions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2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Favreau</w:t>
            </w: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12,034,642</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1,159,788</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2,723</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683,568</w:t>
            </w: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Ajoy H. Karna</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13,154,348</w:t>
            </w:r>
          </w:p>
        </w:tc>
        <w:tc>
          <w:tcPr>
            <w:tcW w:w="8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39,795</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3,010</w:t>
            </w:r>
          </w:p>
        </w:tc>
        <w:tc>
          <w:tcPr>
            <w:tcW w:w="1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683,568</w:t>
            </w:r>
          </w:p>
        </w:tc>
      </w:tr>
    </w:tbl>
    <w:p>
      <w:pPr>
        <w:spacing w:after="0" w:line="287" w:lineRule="exact"/>
        <w:rPr>
          <w:sz w:val="20"/>
          <w:szCs w:val="20"/>
          <w:color w:val="auto"/>
        </w:rPr>
      </w:pPr>
    </w:p>
    <w:p>
      <w:pPr>
        <w:jc w:val="both"/>
        <w:ind w:right="380" w:firstLine="648"/>
        <w:spacing w:after="0" w:line="282" w:lineRule="auto"/>
        <w:rPr>
          <w:sz w:val="20"/>
          <w:szCs w:val="20"/>
          <w:color w:val="auto"/>
        </w:rPr>
      </w:pPr>
      <w:r>
        <w:rPr>
          <w:rFonts w:ascii="Times New Roman" w:cs="Times New Roman" w:eastAsia="Times New Roman" w:hAnsi="Times New Roman"/>
          <w:sz w:val="18"/>
          <w:szCs w:val="18"/>
          <w:color w:val="auto"/>
        </w:rPr>
        <w:t>Each of the following Class I and Class II directors will continue to hold office until his or her respective term expires: Kenneth M. Hartwick, Jennifer E. Lowry, Richard S. Swartz, Donald C.I. Lucky and Shirin O'Connor.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2. Advisory Approval of the Compensation of Our Named Executive Officers.</w:t>
      </w:r>
      <w:r>
        <w:rPr>
          <w:rFonts w:ascii="Times New Roman" w:cs="Times New Roman" w:eastAsia="Times New Roman" w:hAnsi="Times New Roman"/>
          <w:sz w:val="18"/>
          <w:szCs w:val="18"/>
          <w:color w:val="auto"/>
        </w:rPr>
        <w:t xml:space="preserve"> The stockholders approved, on an advisory basis, the compensation of our named executive officers.</w:t>
      </w:r>
    </w:p>
    <w:p>
      <w:pPr>
        <w:spacing w:after="0" w:line="200" w:lineRule="exact"/>
        <w:rPr>
          <w:sz w:val="20"/>
          <w:szCs w:val="20"/>
          <w:color w:val="auto"/>
        </w:rPr>
      </w:pPr>
    </w:p>
    <w:p>
      <w:pPr>
        <w:spacing w:after="0" w:line="218"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For</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Against</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Abstentions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23"/>
        </w:trPr>
        <w:tc>
          <w:tcPr>
            <w:tcW w:w="186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12,762,596</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428,800</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5,757</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683,568</w:t>
            </w:r>
          </w:p>
        </w:tc>
      </w:tr>
    </w:tbl>
    <w:p>
      <w:pPr>
        <w:spacing w:after="0" w:line="2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3. Ratification of the Appointment of Our Independent Registered Public Accounting Firm.</w:t>
      </w:r>
      <w:r>
        <w:rPr>
          <w:rFonts w:ascii="Times New Roman" w:cs="Times New Roman" w:eastAsia="Times New Roman" w:hAnsi="Times New Roman"/>
          <w:sz w:val="18"/>
          <w:szCs w:val="18"/>
          <w:color w:val="auto"/>
        </w:rPr>
        <w:t xml:space="preserve"> The stockholders ratified the appointment of Crowe LLP as our independent registered public accounting firm for the fiscal year ending December 31, 2025.</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Votes For</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Votes Against</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Abstentions</w:t>
            </w:r>
          </w:p>
        </w:tc>
        <w:tc>
          <w:tcPr>
            <w:tcW w:w="360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23"/>
        </w:trPr>
        <w:tc>
          <w:tcPr>
            <w:tcW w:w="1760" w:type="dxa"/>
            <w:vAlign w:val="bottom"/>
          </w:tcPr>
          <w:p>
            <w:pPr>
              <w:spacing w:after="0"/>
              <w:rPr>
                <w:sz w:val="19"/>
                <w:szCs w:val="19"/>
                <w:color w:val="auto"/>
              </w:rPr>
            </w:pPr>
          </w:p>
        </w:tc>
        <w:tc>
          <w:tcPr>
            <w:tcW w:w="18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13,786,441</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86,290</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spacing w:after="0"/>
              <w:rPr>
                <w:sz w:val="19"/>
                <w:szCs w:val="19"/>
                <w:color w:val="auto"/>
              </w:rPr>
            </w:pPr>
          </w:p>
        </w:tc>
      </w:tr>
      <w:tr>
        <w:trPr>
          <w:trHeight w:val="1019"/>
        </w:trPr>
        <w:tc>
          <w:tcPr>
            <w:tcW w:w="17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60" w:type="dxa"/>
            <w:vAlign w:val="bottom"/>
            <w:gridSpan w:val="3"/>
          </w:tcPr>
          <w:p>
            <w:pPr>
              <w:ind w:left="2180"/>
              <w:spacing w:after="0"/>
              <w:rPr>
                <w:sz w:val="20"/>
                <w:szCs w:val="20"/>
                <w:color w:val="auto"/>
              </w:rPr>
            </w:pPr>
            <w:r>
              <w:rPr>
                <w:rFonts w:ascii="Times New Roman" w:cs="Times New Roman" w:eastAsia="Times New Roman" w:hAnsi="Times New Roman"/>
                <w:sz w:val="18"/>
                <w:szCs w:val="18"/>
                <w:b w:val="1"/>
                <w:bCs w:val="1"/>
                <w:color w:val="auto"/>
              </w:rPr>
              <w:t>MYR GROUP INC.</w:t>
            </w:r>
          </w:p>
        </w:tc>
      </w:tr>
      <w:tr>
        <w:trPr>
          <w:trHeight w:val="48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29, 2025</w:t>
            </w:r>
          </w:p>
        </w:tc>
        <w:tc>
          <w:tcPr>
            <w:tcW w:w="7460" w:type="dxa"/>
            <w:vAlign w:val="bottom"/>
            <w:gridSpan w:val="3"/>
          </w:tcPr>
          <w:p>
            <w:pPr>
              <w:ind w:left="2180"/>
              <w:spacing w:after="0"/>
              <w:rPr>
                <w:sz w:val="20"/>
                <w:szCs w:val="20"/>
                <w:color w:val="auto"/>
              </w:rPr>
            </w:pPr>
            <w:r>
              <w:rPr>
                <w:rFonts w:ascii="Times New Roman" w:cs="Times New Roman" w:eastAsia="Times New Roman" w:hAnsi="Times New Roman"/>
                <w:sz w:val="18"/>
                <w:szCs w:val="18"/>
                <w:color w:val="auto"/>
              </w:rPr>
              <w:t>By:   /s/ WILLIAM F. FRY</w:t>
            </w:r>
          </w:p>
        </w:tc>
      </w:tr>
      <w:tr>
        <w:trPr>
          <w:trHeight w:val="218"/>
        </w:trPr>
        <w:tc>
          <w:tcPr>
            <w:tcW w:w="3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William F. Fry</w:t>
            </w:r>
          </w:p>
        </w:tc>
      </w:tr>
      <w:tr>
        <w:trPr>
          <w:trHeight w:val="180"/>
        </w:trPr>
        <w:tc>
          <w:tcPr>
            <w:tcW w:w="37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Senior Vice President, Chief Legal Officer and</w:t>
            </w:r>
          </w:p>
        </w:tc>
      </w:tr>
      <w:tr>
        <w:trPr>
          <w:trHeight w:val="234"/>
        </w:trPr>
        <w:tc>
          <w:tcPr>
            <w:tcW w:w="3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2025-04-29T15:18:07Z</dcterms:created>
  <dcterms:modified xsi:type="dcterms:W3CDTF">2025-04-29T15:18:07Z</dcterms:modified>
</cp:coreProperties>
</file>