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702310</wp:posOffset>
            </wp:positionV>
            <wp:extent cx="72339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9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727710</wp:posOffset>
            </wp:positionV>
            <wp:extent cx="72339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39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193040</wp:posOffset>
            </wp:positionV>
            <wp:extent cx="1532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2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203835</wp:posOffset>
            </wp:positionV>
            <wp:extent cx="1532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2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5646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64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2580" w:hanging="958"/>
        <w:spacing w:after="0"/>
        <w:tabs>
          <w:tab w:leader="none" w:pos="2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w:t>
      </w:r>
    </w:p>
    <w:p>
      <w:pPr>
        <w:spacing w:after="0" w:line="24" w:lineRule="exact"/>
        <w:rPr>
          <w:rFonts w:ascii="Arial" w:cs="Arial" w:eastAsia="Arial" w:hAnsi="Arial"/>
          <w:sz w:val="18"/>
          <w:szCs w:val="18"/>
          <w:color w:val="auto"/>
        </w:rPr>
      </w:pPr>
    </w:p>
    <w:p>
      <w:pPr>
        <w:ind w:left="258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646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6420" cy="8255"/>
                    </a:xfrm>
                    <a:prstGeom prst="rect">
                      <a:avLst/>
                    </a:prstGeom>
                    <a:noFill/>
                  </pic:spPr>
                </pic:pic>
              </a:graphicData>
            </a:graphic>
          </wp:anchor>
        </w:drawing>
      </w:r>
    </w:p>
    <w:p>
      <w:pPr>
        <w:spacing w:after="0" w:line="149" w:lineRule="exact"/>
        <w:rPr>
          <w:sz w:val="24"/>
          <w:szCs w:val="24"/>
          <w:color w:val="auto"/>
        </w:rPr>
      </w:pPr>
    </w:p>
    <w:p>
      <w:pPr>
        <w:ind w:left="2580" w:hanging="958"/>
        <w:spacing w:after="0"/>
        <w:tabs>
          <w:tab w:leader="none" w:pos="2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w:t>
      </w:r>
    </w:p>
    <w:p>
      <w:pPr>
        <w:spacing w:after="0" w:line="24" w:lineRule="exact"/>
        <w:rPr>
          <w:rFonts w:ascii="Arial" w:cs="Arial" w:eastAsia="Arial" w:hAnsi="Arial"/>
          <w:sz w:val="18"/>
          <w:szCs w:val="18"/>
          <w:color w:val="auto"/>
        </w:rPr>
      </w:pPr>
    </w:p>
    <w:p>
      <w:pPr>
        <w:ind w:left="258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8" w:lineRule="exact"/>
        <w:rPr>
          <w:sz w:val="24"/>
          <w:szCs w:val="24"/>
          <w:color w:val="auto"/>
        </w:rPr>
      </w:pPr>
    </w:p>
    <w:tbl>
      <w:tblPr>
        <w:tblLayout w:type="fixed"/>
        <w:tblInd w:w="4000" w:type="dxa"/>
        <w:tblCellMar>
          <w:top w:w="0" w:type="dxa"/>
          <w:left w:w="0" w:type="dxa"/>
          <w:bottom w:w="0" w:type="dxa"/>
          <w:right w:w="0" w:type="dxa"/>
        </w:tblCellMar>
      </w:tblPr>
      <w:tr>
        <w:trPr>
          <w:trHeight w:val="231"/>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4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w:t>
            </w:r>
          </w:p>
        </w:tc>
      </w:tr>
      <w:tr>
        <w:trPr>
          <w:trHeight w:val="322"/>
        </w:trPr>
        <w:tc>
          <w:tcPr>
            <w:tcW w:w="3040" w:type="dxa"/>
            <w:vAlign w:val="bottom"/>
            <w:gridSpan w:val="4"/>
          </w:tcPr>
          <w:p>
            <w:pPr>
              <w:ind w:left="460"/>
              <w:spacing w:after="0"/>
              <w:rPr>
                <w:sz w:val="20"/>
                <w:szCs w:val="20"/>
                <w:color w:val="auto"/>
              </w:rPr>
            </w:pPr>
            <w:r>
              <w:rPr>
                <w:rFonts w:ascii="Arial" w:cs="Arial" w:eastAsia="Arial" w:hAnsi="Arial"/>
                <w:sz w:val="18"/>
                <w:szCs w:val="18"/>
                <w:b w:val="1"/>
                <w:bCs w:val="1"/>
                <w:color w:val="auto"/>
                <w:w w:val="89"/>
              </w:rPr>
              <w:t>Commission file number: 1-08325</w:t>
            </w:r>
          </w:p>
        </w:tc>
      </w:tr>
      <w:tr>
        <w:trPr>
          <w:trHeight w:val="297"/>
        </w:trPr>
        <w:tc>
          <w:tcPr>
            <w:tcW w:w="52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pacing w:after="0" w:line="361" w:lineRule="exact"/>
        <w:rPr>
          <w:sz w:val="24"/>
          <w:szCs w:val="24"/>
          <w:color w:val="auto"/>
        </w:rPr>
      </w:pPr>
    </w:p>
    <w:tbl>
      <w:tblPr>
        <w:tblLayout w:type="fixed"/>
        <w:tblInd w:w="1880" w:type="dxa"/>
        <w:tblCellMar>
          <w:top w:w="0" w:type="dxa"/>
          <w:left w:w="0" w:type="dxa"/>
          <w:bottom w:w="0" w:type="dxa"/>
          <w:right w:w="0" w:type="dxa"/>
        </w:tblCellMar>
      </w:tblPr>
      <w:tr>
        <w:trPr>
          <w:trHeight w:val="419"/>
        </w:trPr>
        <w:tc>
          <w:tcPr>
            <w:tcW w:w="1940" w:type="dxa"/>
            <w:vAlign w:val="bottom"/>
          </w:tcPr>
          <w:p>
            <w:pPr>
              <w:spacing w:after="0"/>
              <w:rPr>
                <w:sz w:val="24"/>
                <w:szCs w:val="24"/>
                <w:color w:val="auto"/>
              </w:rPr>
            </w:pPr>
          </w:p>
        </w:tc>
        <w:tc>
          <w:tcPr>
            <w:tcW w:w="5060" w:type="dxa"/>
            <w:vAlign w:val="bottom"/>
            <w:gridSpan w:val="3"/>
          </w:tcPr>
          <w:p>
            <w:pPr>
              <w:ind w:left="520"/>
              <w:spacing w:after="0"/>
              <w:rPr>
                <w:sz w:val="20"/>
                <w:szCs w:val="20"/>
                <w:color w:val="auto"/>
              </w:rPr>
            </w:pPr>
            <w:r>
              <w:rPr>
                <w:rFonts w:ascii="Arial" w:cs="Arial" w:eastAsia="Arial" w:hAnsi="Arial"/>
                <w:sz w:val="32"/>
                <w:szCs w:val="32"/>
                <w:b w:val="1"/>
                <w:bCs w:val="1"/>
                <w:color w:val="auto"/>
              </w:rPr>
              <w:t>MYR GROUP INC.</w:t>
            </w:r>
          </w:p>
        </w:tc>
      </w:tr>
      <w:tr>
        <w:trPr>
          <w:trHeight w:val="254"/>
        </w:trPr>
        <w:tc>
          <w:tcPr>
            <w:tcW w:w="1940" w:type="dxa"/>
            <w:vAlign w:val="bottom"/>
          </w:tcPr>
          <w:p>
            <w:pPr>
              <w:spacing w:after="0"/>
              <w:rPr>
                <w:sz w:val="22"/>
                <w:szCs w:val="22"/>
                <w:color w:val="auto"/>
              </w:rPr>
            </w:pPr>
          </w:p>
        </w:tc>
        <w:tc>
          <w:tcPr>
            <w:tcW w:w="5060" w:type="dxa"/>
            <w:vAlign w:val="bottom"/>
            <w:gridSpan w:val="3"/>
          </w:tcPr>
          <w:p>
            <w:pPr>
              <w:jc w:val="center"/>
              <w:ind w:right="1149"/>
              <w:spacing w:after="0"/>
              <w:rPr>
                <w:sz w:val="20"/>
                <w:szCs w:val="20"/>
                <w:color w:val="auto"/>
              </w:rPr>
            </w:pPr>
            <w:r>
              <w:rPr>
                <w:rFonts w:ascii="Arial" w:cs="Arial" w:eastAsia="Arial" w:hAnsi="Arial"/>
                <w:sz w:val="14"/>
                <w:szCs w:val="14"/>
                <w:color w:val="auto"/>
                <w:w w:val="92"/>
              </w:rPr>
              <w:t>(Exact name of registrant as specified in its charter)</w:t>
            </w:r>
          </w:p>
        </w:tc>
      </w:tr>
      <w:tr>
        <w:trPr>
          <w:trHeight w:val="300"/>
        </w:trPr>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r>
      <w:tr>
        <w:trPr>
          <w:trHeight w:val="478"/>
        </w:trPr>
        <w:tc>
          <w:tcPr>
            <w:tcW w:w="1940" w:type="dxa"/>
            <w:vAlign w:val="bottom"/>
          </w:tcPr>
          <w:p>
            <w:pPr>
              <w:jc w:val="center"/>
              <w:ind w:right="143"/>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gridSpan w:val="3"/>
          </w:tcPr>
          <w:p>
            <w:pPr>
              <w:jc w:val="center"/>
              <w:ind w:left="3908"/>
              <w:spacing w:after="0"/>
              <w:rPr>
                <w:sz w:val="20"/>
                <w:szCs w:val="20"/>
                <w:color w:val="auto"/>
              </w:rPr>
            </w:pPr>
            <w:r>
              <w:rPr>
                <w:rFonts w:ascii="Arial" w:cs="Arial" w:eastAsia="Arial" w:hAnsi="Arial"/>
                <w:sz w:val="18"/>
                <w:szCs w:val="18"/>
                <w:b w:val="1"/>
                <w:bCs w:val="1"/>
                <w:color w:val="auto"/>
                <w:w w:val="89"/>
              </w:rPr>
              <w:t>36-3158643</w:t>
            </w:r>
          </w:p>
        </w:tc>
      </w:tr>
      <w:tr>
        <w:trPr>
          <w:trHeight w:val="148"/>
        </w:trPr>
        <w:tc>
          <w:tcPr>
            <w:tcW w:w="1940" w:type="dxa"/>
            <w:vAlign w:val="bottom"/>
          </w:tcPr>
          <w:p>
            <w:pPr>
              <w:jc w:val="center"/>
              <w:ind w:right="163"/>
              <w:spacing w:after="0" w:line="147" w:lineRule="exact"/>
              <w:rPr>
                <w:sz w:val="20"/>
                <w:szCs w:val="20"/>
                <w:color w:val="auto"/>
              </w:rPr>
            </w:pPr>
            <w:r>
              <w:rPr>
                <w:rFonts w:ascii="Arial" w:cs="Arial" w:eastAsia="Arial" w:hAnsi="Arial"/>
                <w:sz w:val="14"/>
                <w:szCs w:val="14"/>
                <w:color w:val="auto"/>
                <w:w w:val="94"/>
              </w:rPr>
              <w:t>(State or other jurisdiction of</w:t>
            </w:r>
          </w:p>
        </w:tc>
        <w:tc>
          <w:tcPr>
            <w:tcW w:w="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960" w:type="dxa"/>
            <w:vAlign w:val="bottom"/>
          </w:tcPr>
          <w:p>
            <w:pPr>
              <w:jc w:val="center"/>
              <w:ind w:left="829"/>
              <w:spacing w:after="0" w:line="147" w:lineRule="exact"/>
              <w:rPr>
                <w:sz w:val="20"/>
                <w:szCs w:val="20"/>
                <w:color w:val="auto"/>
              </w:rPr>
            </w:pPr>
            <w:r>
              <w:rPr>
                <w:rFonts w:ascii="Arial" w:cs="Arial" w:eastAsia="Arial" w:hAnsi="Arial"/>
                <w:sz w:val="14"/>
                <w:szCs w:val="14"/>
                <w:color w:val="auto"/>
                <w:w w:val="95"/>
              </w:rPr>
              <w:t>(I.R.S. Employer</w:t>
            </w:r>
          </w:p>
        </w:tc>
      </w:tr>
      <w:tr>
        <w:trPr>
          <w:trHeight w:val="181"/>
        </w:trPr>
        <w:tc>
          <w:tcPr>
            <w:tcW w:w="1940" w:type="dxa"/>
            <w:vAlign w:val="bottom"/>
          </w:tcPr>
          <w:p>
            <w:pPr>
              <w:jc w:val="center"/>
              <w:ind w:right="143"/>
              <w:spacing w:after="0"/>
              <w:rPr>
                <w:sz w:val="20"/>
                <w:szCs w:val="20"/>
                <w:color w:val="auto"/>
              </w:rPr>
            </w:pPr>
            <w:r>
              <w:rPr>
                <w:rFonts w:ascii="Arial" w:cs="Arial" w:eastAsia="Arial" w:hAnsi="Arial"/>
                <w:sz w:val="14"/>
                <w:szCs w:val="14"/>
                <w:color w:val="auto"/>
                <w:w w:val="94"/>
              </w:rPr>
              <w:t>incorporation or organization)</w:t>
            </w:r>
          </w:p>
        </w:tc>
        <w:tc>
          <w:tcPr>
            <w:tcW w:w="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60" w:type="dxa"/>
            <w:vAlign w:val="bottom"/>
          </w:tcPr>
          <w:p>
            <w:pPr>
              <w:jc w:val="center"/>
              <w:ind w:left="829"/>
              <w:spacing w:after="0"/>
              <w:rPr>
                <w:sz w:val="20"/>
                <w:szCs w:val="20"/>
                <w:color w:val="auto"/>
              </w:rPr>
            </w:pPr>
            <w:r>
              <w:rPr>
                <w:rFonts w:ascii="Arial" w:cs="Arial" w:eastAsia="Arial" w:hAnsi="Arial"/>
                <w:sz w:val="14"/>
                <w:szCs w:val="14"/>
                <w:color w:val="auto"/>
                <w:w w:val="97"/>
              </w:rPr>
              <w:t>Identification No.)</w:t>
            </w:r>
          </w:p>
        </w:tc>
      </w:tr>
      <w:tr>
        <w:trPr>
          <w:trHeight w:val="288"/>
        </w:trPr>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60" w:type="dxa"/>
            <w:vAlign w:val="bottom"/>
            <w:gridSpan w:val="2"/>
          </w:tcPr>
          <w:p>
            <w:pPr>
              <w:jc w:val="center"/>
              <w:ind w:right="1829"/>
              <w:spacing w:after="0"/>
              <w:rPr>
                <w:sz w:val="20"/>
                <w:szCs w:val="20"/>
                <w:color w:val="auto"/>
              </w:rPr>
            </w:pPr>
            <w:r>
              <w:rPr>
                <w:rFonts w:ascii="Arial" w:cs="Arial" w:eastAsia="Arial" w:hAnsi="Arial"/>
                <w:sz w:val="18"/>
                <w:szCs w:val="18"/>
                <w:b w:val="1"/>
                <w:bCs w:val="1"/>
                <w:color w:val="auto"/>
                <w:w w:val="90"/>
              </w:rPr>
              <w:t>1701 Golf Road, Suite 3-1012</w:t>
            </w:r>
          </w:p>
        </w:tc>
      </w:tr>
      <w:tr>
        <w:trPr>
          <w:trHeight w:val="231"/>
        </w:trPr>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60" w:type="dxa"/>
            <w:vAlign w:val="bottom"/>
            <w:gridSpan w:val="2"/>
          </w:tcPr>
          <w:p>
            <w:pPr>
              <w:jc w:val="center"/>
              <w:ind w:right="1829"/>
              <w:spacing w:after="0"/>
              <w:rPr>
                <w:sz w:val="20"/>
                <w:szCs w:val="20"/>
                <w:color w:val="auto"/>
              </w:rPr>
            </w:pPr>
            <w:r>
              <w:rPr>
                <w:rFonts w:ascii="Arial" w:cs="Arial" w:eastAsia="Arial" w:hAnsi="Arial"/>
                <w:sz w:val="18"/>
                <w:szCs w:val="18"/>
                <w:b w:val="1"/>
                <w:bCs w:val="1"/>
                <w:color w:val="auto"/>
                <w:w w:val="92"/>
              </w:rPr>
              <w:t>Rolling Meadows, IL 60008</w:t>
            </w:r>
          </w:p>
        </w:tc>
      </w:tr>
      <w:tr>
        <w:trPr>
          <w:trHeight w:val="285"/>
        </w:trPr>
        <w:tc>
          <w:tcPr>
            <w:tcW w:w="1940" w:type="dxa"/>
            <w:vAlign w:val="bottom"/>
          </w:tcPr>
          <w:p>
            <w:pPr>
              <w:spacing w:after="0"/>
              <w:rPr>
                <w:sz w:val="24"/>
                <w:szCs w:val="24"/>
                <w:color w:val="auto"/>
              </w:rPr>
            </w:pPr>
          </w:p>
        </w:tc>
        <w:tc>
          <w:tcPr>
            <w:tcW w:w="5060" w:type="dxa"/>
            <w:vAlign w:val="bottom"/>
            <w:gridSpan w:val="3"/>
          </w:tcPr>
          <w:p>
            <w:pPr>
              <w:jc w:val="center"/>
              <w:ind w:right="1149"/>
              <w:spacing w:after="0"/>
              <w:rPr>
                <w:sz w:val="20"/>
                <w:szCs w:val="20"/>
                <w:color w:val="auto"/>
              </w:rPr>
            </w:pPr>
            <w:r>
              <w:rPr>
                <w:rFonts w:ascii="Arial" w:cs="Arial" w:eastAsia="Arial" w:hAnsi="Arial"/>
                <w:sz w:val="14"/>
                <w:szCs w:val="14"/>
                <w:color w:val="auto"/>
                <w:w w:val="94"/>
              </w:rPr>
              <w:t>(Address of principal executive offices, including zip code)</w:t>
            </w:r>
          </w:p>
        </w:tc>
      </w:tr>
      <w:tr>
        <w:trPr>
          <w:trHeight w:val="318"/>
        </w:trPr>
        <w:tc>
          <w:tcPr>
            <w:tcW w:w="1940" w:type="dxa"/>
            <w:vAlign w:val="bottom"/>
          </w:tcPr>
          <w:p>
            <w:pPr>
              <w:spacing w:after="0"/>
              <w:rPr>
                <w:sz w:val="24"/>
                <w:szCs w:val="24"/>
                <w:color w:val="auto"/>
              </w:rPr>
            </w:pPr>
          </w:p>
        </w:tc>
        <w:tc>
          <w:tcPr>
            <w:tcW w:w="3100" w:type="dxa"/>
            <w:vAlign w:val="bottom"/>
            <w:gridSpan w:val="2"/>
          </w:tcPr>
          <w:p>
            <w:pPr>
              <w:jc w:val="center"/>
              <w:ind w:left="648"/>
              <w:spacing w:after="0"/>
              <w:rPr>
                <w:sz w:val="20"/>
                <w:szCs w:val="20"/>
                <w:color w:val="auto"/>
              </w:rPr>
            </w:pPr>
            <w:r>
              <w:rPr>
                <w:rFonts w:ascii="Arial" w:cs="Arial" w:eastAsia="Arial" w:hAnsi="Arial"/>
                <w:sz w:val="18"/>
                <w:szCs w:val="18"/>
                <w:b w:val="1"/>
                <w:bCs w:val="1"/>
                <w:color w:val="auto"/>
                <w:w w:val="90"/>
              </w:rPr>
              <w:t>(847) 290-1891</w:t>
            </w:r>
          </w:p>
        </w:tc>
        <w:tc>
          <w:tcPr>
            <w:tcW w:w="1960" w:type="dxa"/>
            <w:vAlign w:val="bottom"/>
          </w:tcPr>
          <w:p>
            <w:pPr>
              <w:spacing w:after="0"/>
              <w:rPr>
                <w:sz w:val="24"/>
                <w:szCs w:val="24"/>
                <w:color w:val="auto"/>
              </w:rPr>
            </w:pPr>
          </w:p>
        </w:tc>
      </w:tr>
      <w:tr>
        <w:trPr>
          <w:trHeight w:val="285"/>
        </w:trPr>
        <w:tc>
          <w:tcPr>
            <w:tcW w:w="1940" w:type="dxa"/>
            <w:vAlign w:val="bottom"/>
          </w:tcPr>
          <w:p>
            <w:pPr>
              <w:spacing w:after="0"/>
              <w:rPr>
                <w:sz w:val="24"/>
                <w:szCs w:val="24"/>
                <w:color w:val="auto"/>
              </w:rPr>
            </w:pPr>
          </w:p>
        </w:tc>
        <w:tc>
          <w:tcPr>
            <w:tcW w:w="5060" w:type="dxa"/>
            <w:vAlign w:val="bottom"/>
            <w:gridSpan w:val="3"/>
          </w:tcPr>
          <w:p>
            <w:pPr>
              <w:jc w:val="center"/>
              <w:ind w:right="1129"/>
              <w:spacing w:after="0"/>
              <w:rPr>
                <w:sz w:val="20"/>
                <w:szCs w:val="20"/>
                <w:color w:val="auto"/>
              </w:rPr>
            </w:pPr>
            <w:r>
              <w:rPr>
                <w:rFonts w:ascii="Arial" w:cs="Arial" w:eastAsia="Arial" w:hAnsi="Arial"/>
                <w:sz w:val="14"/>
                <w:szCs w:val="14"/>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-1278255</wp:posOffset>
            </wp:positionV>
            <wp:extent cx="6625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5590" cy="825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186055</wp:posOffset>
            </wp:positionV>
            <wp:extent cx="1532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5808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8345" cy="8255"/>
                    </a:xfrm>
                    <a:prstGeom prst="rect">
                      <a:avLst/>
                    </a:prstGeom>
                    <a:noFill/>
                  </pic:spPr>
                </pic:pic>
              </a:graphicData>
            </a:graphic>
          </wp:anchor>
        </w:drawing>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60" w:type="dxa"/>
            <w:vAlign w:val="bottom"/>
          </w:tcPr>
          <w:p>
            <w:pPr>
              <w:spacing w:after="0"/>
              <w:rPr>
                <w:sz w:val="14"/>
                <w:szCs w:val="14"/>
                <w:color w:val="auto"/>
              </w:rPr>
            </w:pPr>
          </w:p>
        </w:tc>
        <w:tc>
          <w:tcPr>
            <w:tcW w:w="546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Name of Exchange on Which Registered</w:t>
            </w:r>
          </w:p>
        </w:tc>
      </w:tr>
      <w:tr>
        <w:trPr>
          <w:trHeight w:val="221"/>
        </w:trPr>
        <w:tc>
          <w:tcPr>
            <w:tcW w:w="546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60" w:type="dxa"/>
            <w:vAlign w:val="bottom"/>
          </w:tcPr>
          <w:p>
            <w:pPr>
              <w:spacing w:after="0"/>
              <w:rPr>
                <w:sz w:val="19"/>
                <w:szCs w:val="19"/>
                <w:color w:val="auto"/>
              </w:rPr>
            </w:pPr>
          </w:p>
        </w:tc>
        <w:tc>
          <w:tcPr>
            <w:tcW w:w="5460" w:type="dxa"/>
            <w:vAlign w:val="bottom"/>
          </w:tcPr>
          <w:p>
            <w:pPr>
              <w:ind w:left="1480"/>
              <w:spacing w:after="0"/>
              <w:rPr>
                <w:sz w:val="20"/>
                <w:szCs w:val="20"/>
                <w:color w:val="auto"/>
              </w:rPr>
            </w:pPr>
            <w:r>
              <w:rPr>
                <w:rFonts w:ascii="Arial" w:cs="Arial" w:eastAsia="Arial" w:hAnsi="Arial"/>
                <w:sz w:val="18"/>
                <w:szCs w:val="18"/>
                <w:color w:val="auto"/>
              </w:rPr>
              <w:t>The NASDAQ Stock Market, LLC</w:t>
            </w:r>
          </w:p>
        </w:tc>
      </w:tr>
    </w:tbl>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203835</wp:posOffset>
            </wp:positionV>
            <wp:extent cx="1532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340" w:right="2640"/>
        <w:spacing w:after="0" w:line="43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Act.Yes o No x Indicate by check mark if the registrant is not required to file reports pursuant to Section 13 or Section 15(d) of the Act.Yes o No x</w:t>
      </w:r>
    </w:p>
    <w:p>
      <w:pPr>
        <w:spacing w:after="0" w:line="1" w:lineRule="exact"/>
        <w:rPr>
          <w:sz w:val="24"/>
          <w:szCs w:val="24"/>
          <w:color w:val="auto"/>
        </w:rPr>
      </w:pPr>
    </w:p>
    <w:p>
      <w:pPr>
        <w:jc w:val="both"/>
        <w:ind w:left="60" w:right="540" w:firstLine="268"/>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7" w:lineRule="exact"/>
        <w:rPr>
          <w:sz w:val="24"/>
          <w:szCs w:val="24"/>
          <w:color w:val="auto"/>
        </w:rPr>
      </w:pPr>
    </w:p>
    <w:p>
      <w:pPr>
        <w:ind w:left="60" w:right="40" w:firstLine="268"/>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x No o</w:t>
      </w:r>
    </w:p>
    <w:p>
      <w:pPr>
        <w:spacing w:after="0" w:line="77" w:lineRule="exact"/>
        <w:rPr>
          <w:sz w:val="24"/>
          <w:szCs w:val="24"/>
          <w:color w:val="auto"/>
        </w:rPr>
      </w:pPr>
    </w:p>
    <w:p>
      <w:pPr>
        <w:ind w:left="60" w:right="100" w:firstLine="268"/>
        <w:spacing w:after="0" w:line="258"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77" w:lineRule="exact"/>
        <w:rPr>
          <w:sz w:val="24"/>
          <w:szCs w:val="24"/>
          <w:color w:val="auto"/>
        </w:rPr>
      </w:pPr>
    </w:p>
    <w:p>
      <w:pPr>
        <w:ind w:left="60" w:firstLine="268"/>
        <w:spacing w:after="0" w:line="3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677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7025" cy="8255"/>
                    </a:xfrm>
                    <a:prstGeom prst="rect">
                      <a:avLst/>
                    </a:prstGeom>
                    <a:noFill/>
                  </pic:spPr>
                </pic:pic>
              </a:graphicData>
            </a:graphic>
          </wp:anchor>
        </w:drawing>
      </w:r>
    </w:p>
    <w:p>
      <w:pPr>
        <w:sectPr>
          <w:pgSz w:w="11900" w:h="16882" w:orient="portrait"/>
          <w:cols w:equalWidth="0" w:num="1">
            <w:col w:w="11380"/>
          </w:cols>
          <w:pgMar w:left="360" w:top="1440" w:right="159" w:bottom="0" w:gutter="0" w:footer="0" w:header="0"/>
        </w:sectPr>
      </w:pPr>
    </w:p>
    <w:p>
      <w:pPr>
        <w:spacing w:after="0" w:line="59"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33" w:lineRule="exact"/>
        <w:rPr>
          <w:sz w:val="24"/>
          <w:szCs w:val="24"/>
          <w:color w:val="auto"/>
        </w:rPr>
      </w:pPr>
    </w:p>
    <w:p>
      <w:pPr>
        <w:sectPr>
          <w:pgSz w:w="11900" w:h="16882" w:orient="portrait"/>
          <w:cols w:equalWidth="0" w:num="2">
            <w:col w:w="7340" w:space="720"/>
            <w:col w:w="3320"/>
          </w:cols>
          <w:pgMar w:left="360" w:top="1440" w:right="159" w:bottom="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40" w:lineRule="exact"/>
        <w:rPr>
          <w:sz w:val="24"/>
          <w:szCs w:val="24"/>
          <w:color w:val="auto"/>
        </w:rPr>
      </w:pPr>
    </w:p>
    <w:p>
      <w:pPr>
        <w:sectPr>
          <w:pgSz w:w="11900" w:h="16882" w:orient="portrait"/>
          <w:cols w:equalWidth="0" w:num="2">
            <w:col w:w="7340" w:space="720"/>
            <w:col w:w="3320"/>
          </w:cols>
          <w:pgMar w:left="360" w:top="1440" w:right="159" w:bottom="0" w:gutter="0" w:footer="0" w:header="0"/>
          <w:type w:val="continuous"/>
        </w:sectPr>
      </w:pPr>
    </w:p>
    <w:p>
      <w:pPr>
        <w:ind w:left="20"/>
        <w:spacing w:after="0"/>
        <w:rPr>
          <w:sz w:val="20"/>
          <w:szCs w:val="20"/>
          <w:color w:val="auto"/>
        </w:rPr>
      </w:pPr>
      <w:r>
        <w:rPr>
          <w:rFonts w:ascii="Arial" w:cs="Arial" w:eastAsia="Arial" w:hAnsi="Arial"/>
          <w:sz w:val="14"/>
          <w:szCs w:val="14"/>
          <w:color w:val="auto"/>
        </w:rPr>
        <w:t>Emerging growth company o</w:t>
      </w:r>
    </w:p>
    <w:p>
      <w:pPr>
        <w:sectPr>
          <w:pgSz w:w="11900" w:h="16882" w:orient="portrait"/>
          <w:cols w:equalWidth="0" w:num="1">
            <w:col w:w="11380"/>
          </w:cols>
          <w:pgMar w:left="360" w:top="1440" w:right="159" w:bottom="0" w:gutter="0" w:footer="0" w:header="0"/>
          <w:type w:val="continuous"/>
        </w:sectPr>
      </w:pPr>
    </w:p>
    <w:p>
      <w:pPr>
        <w:spacing w:after="0" w:line="143" w:lineRule="exact"/>
        <w:rPr>
          <w:sz w:val="24"/>
          <w:szCs w:val="24"/>
          <w:color w:val="auto"/>
        </w:rPr>
      </w:pPr>
    </w:p>
    <w:p>
      <w:pPr>
        <w:ind w:left="60" w:right="460" w:firstLine="268"/>
        <w:spacing w:after="0" w:line="27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82" w:orient="portrait"/>
          <w:cols w:equalWidth="0" w:num="1">
            <w:col w:w="11380"/>
          </w:cols>
          <w:pgMar w:left="360" w:top="1440" w:right="159" w:bottom="0" w:gutter="0" w:footer="0" w:header="0"/>
          <w:type w:val="continuous"/>
        </w:sectPr>
      </w:pPr>
    </w:p>
    <w:bookmarkStart w:id="1" w:name="page2"/>
    <w:bookmarkEnd w:id="1"/>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111" w:lineRule="exact"/>
        <w:rPr>
          <w:sz w:val="20"/>
          <w:szCs w:val="20"/>
          <w:color w:val="auto"/>
        </w:rPr>
      </w:pPr>
    </w:p>
    <w:p>
      <w:pPr>
        <w:ind w:firstLine="268"/>
        <w:spacing w:after="0" w:line="254" w:lineRule="auto"/>
        <w:rPr>
          <w:sz w:val="20"/>
          <w:szCs w:val="20"/>
          <w:color w:val="auto"/>
        </w:rPr>
      </w:pPr>
      <w:r>
        <w:rPr>
          <w:rFonts w:ascii="Arial" w:cs="Arial" w:eastAsia="Arial" w:hAnsi="Arial"/>
          <w:sz w:val="16"/>
          <w:szCs w:val="16"/>
          <w:color w:val="auto"/>
        </w:rPr>
        <w:t>As of June 30, 2017 (the last business day of the registrant’s most recently completed second fiscal quarter), the aggregate market value of the outstanding common equity held by non-affiliates of the registrant was approximately $431.4 million,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March 1, 2018 there were 16,467,474 shares of the registrant’s $0.01 par value common stock outstanding.</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5" w:lineRule="exact"/>
        <w:rPr>
          <w:sz w:val="20"/>
          <w:szCs w:val="20"/>
          <w:color w:val="auto"/>
        </w:rPr>
      </w:pPr>
    </w:p>
    <w:p>
      <w:pPr>
        <w:ind w:firstLine="268"/>
        <w:spacing w:after="0" w:line="272"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(the “SEC”) in connection with its 2018 annual meeting of stockholders to be held on April 26, 2018, are incorporated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759460</wp:posOffset>
            </wp:positionV>
            <wp:extent cx="728980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596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13970</wp:posOffset>
            </wp:positionV>
            <wp:extent cx="72339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3920" cy="171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39370</wp:posOffset>
            </wp:positionV>
            <wp:extent cx="72339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3920" cy="17145"/>
                    </a:xfrm>
                    <a:prstGeom prst="rect">
                      <a:avLst/>
                    </a:prstGeom>
                    <a:noFill/>
                  </pic:spPr>
                </pic:pic>
              </a:graphicData>
            </a:graphic>
          </wp:anchor>
        </w:drawing>
      </w:r>
    </w:p>
    <w:p>
      <w:pPr>
        <w:sectPr>
          <w:pgSz w:w="11900" w:h="16838" w:orient="portrait"/>
          <w:cols w:equalWidth="0" w:num="1">
            <w:col w:w="11260"/>
          </w:cols>
          <w:pgMar w:left="420" w:top="183" w:right="219"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2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9"/>
              </w:rPr>
              <w:t>MYR GROUP INC.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0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w w:val="99"/>
              </w:rPr>
              <w:t>ANNUAL REPORT ON FORM 10-K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w w:val="97"/>
              </w:rPr>
              <w:t>FOR THE YEAR ENDED DECEMBER 31, 2017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9"/>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208"/>
        </w:trPr>
        <w:tc>
          <w:tcPr>
            <w:tcW w:w="1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PART 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440" w:type="dxa"/>
            <w:vAlign w:val="bottom"/>
            <w:gridSpan w:val="20"/>
          </w:tcPr>
          <w:p>
            <w:pPr>
              <w:spacing w:after="0" w:line="175"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60" w:type="dxa"/>
            <w:vAlign w:val="bottom"/>
            <w:gridSpan w:val="4"/>
          </w:tcPr>
          <w:p>
            <w:pPr>
              <w:jc w:val="right"/>
              <w:ind w:right="120"/>
              <w:spacing w:after="0" w:line="175"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20"/>
              <w:spacing w:after="0" w:line="175"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9440" w:type="dxa"/>
            <w:vAlign w:val="bottom"/>
            <w:gridSpan w:val="20"/>
            <w:shd w:val="clear" w:color="auto" w:fill="CCEEFF"/>
          </w:tcPr>
          <w:p>
            <w:pPr>
              <w:spacing w:after="0" w:line="175"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640" w:type="dxa"/>
            <w:vAlign w:val="bottom"/>
            <w:gridSpan w:val="3"/>
          </w:tcPr>
          <w:p>
            <w:pPr>
              <w:ind w:left="20"/>
              <w:spacing w:after="0" w:line="175"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1B.</w:t>
              </w:r>
            </w:hyperlink>
          </w:p>
        </w:tc>
        <w:tc>
          <w:tcPr>
            <w:tcW w:w="80" w:type="dxa"/>
            <w:vAlign w:val="bottom"/>
          </w:tcPr>
          <w:p>
            <w:pPr>
              <w:spacing w:after="0"/>
              <w:rPr>
                <w:sz w:val="15"/>
                <w:szCs w:val="15"/>
                <w:color w:val="auto"/>
              </w:rPr>
            </w:pPr>
          </w:p>
        </w:tc>
        <w:tc>
          <w:tcPr>
            <w:tcW w:w="9440" w:type="dxa"/>
            <w:vAlign w:val="bottom"/>
            <w:gridSpan w:val="20"/>
          </w:tcPr>
          <w:p>
            <w:pPr>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440" w:type="dxa"/>
            <w:vAlign w:val="bottom"/>
            <w:gridSpan w:val="3"/>
          </w:tcPr>
          <w:p>
            <w:pPr>
              <w:jc w:val="right"/>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line="175"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2.</w:t>
              </w:r>
            </w:hyperlink>
          </w:p>
        </w:tc>
        <w:tc>
          <w:tcPr>
            <w:tcW w:w="200" w:type="dxa"/>
            <w:vAlign w:val="bottom"/>
            <w:gridSpan w:val="3"/>
            <w:shd w:val="clear" w:color="auto" w:fill="CCEEFF"/>
          </w:tcPr>
          <w:p>
            <w:pPr>
              <w:spacing w:after="0"/>
              <w:rPr>
                <w:sz w:val="15"/>
                <w:szCs w:val="15"/>
                <w:color w:val="auto"/>
              </w:rPr>
            </w:pPr>
          </w:p>
        </w:tc>
        <w:tc>
          <w:tcPr>
            <w:tcW w:w="9440" w:type="dxa"/>
            <w:vAlign w:val="bottom"/>
            <w:gridSpan w:val="20"/>
            <w:shd w:val="clear" w:color="auto" w:fill="CCEEFF"/>
          </w:tcPr>
          <w:p>
            <w:pPr>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520" w:type="dxa"/>
            <w:vAlign w:val="bottom"/>
          </w:tcPr>
          <w:p>
            <w:pPr>
              <w:ind w:left="20"/>
              <w:spacing w:after="0" w:line="175"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3.</w:t>
              </w:r>
            </w:hyperlink>
          </w:p>
        </w:tc>
        <w:tc>
          <w:tcPr>
            <w:tcW w:w="200" w:type="dxa"/>
            <w:vAlign w:val="bottom"/>
            <w:gridSpan w:val="3"/>
          </w:tcPr>
          <w:p>
            <w:pPr>
              <w:spacing w:after="0"/>
              <w:rPr>
                <w:sz w:val="15"/>
                <w:szCs w:val="15"/>
                <w:color w:val="auto"/>
              </w:rPr>
            </w:pPr>
          </w:p>
        </w:tc>
        <w:tc>
          <w:tcPr>
            <w:tcW w:w="9440" w:type="dxa"/>
            <w:vAlign w:val="bottom"/>
            <w:gridSpan w:val="20"/>
          </w:tcPr>
          <w:p>
            <w:pPr>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40" w:type="dxa"/>
            <w:vAlign w:val="bottom"/>
            <w:gridSpan w:val="3"/>
          </w:tcPr>
          <w:p>
            <w:pPr>
              <w:jc w:val="right"/>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line="175"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4.</w:t>
              </w:r>
            </w:hyperlink>
          </w:p>
        </w:tc>
        <w:tc>
          <w:tcPr>
            <w:tcW w:w="200" w:type="dxa"/>
            <w:vAlign w:val="bottom"/>
            <w:gridSpan w:val="3"/>
            <w:shd w:val="clear" w:color="auto" w:fill="CCEEFF"/>
          </w:tcPr>
          <w:p>
            <w:pPr>
              <w:spacing w:after="0"/>
              <w:rPr>
                <w:sz w:val="15"/>
                <w:szCs w:val="15"/>
                <w:color w:val="auto"/>
              </w:rPr>
            </w:pPr>
          </w:p>
        </w:tc>
        <w:tc>
          <w:tcPr>
            <w:tcW w:w="9440" w:type="dxa"/>
            <w:vAlign w:val="bottom"/>
            <w:gridSpan w:val="20"/>
            <w:shd w:val="clear" w:color="auto" w:fill="CCEEFF"/>
          </w:tcPr>
          <w:p>
            <w:pPr>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PART II</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4"/>
        </w:trPr>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line="175"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5.</w:t>
              </w:r>
            </w:hyperlink>
          </w:p>
        </w:tc>
        <w:tc>
          <w:tcPr>
            <w:tcW w:w="200" w:type="dxa"/>
            <w:vAlign w:val="bottom"/>
            <w:gridSpan w:val="3"/>
            <w:shd w:val="clear" w:color="auto" w:fill="CCEEFF"/>
          </w:tcPr>
          <w:p>
            <w:pPr>
              <w:spacing w:after="0"/>
              <w:rPr>
                <w:sz w:val="15"/>
                <w:szCs w:val="15"/>
                <w:color w:val="auto"/>
              </w:rPr>
            </w:pPr>
          </w:p>
        </w:tc>
        <w:tc>
          <w:tcPr>
            <w:tcW w:w="9440" w:type="dxa"/>
            <w:vAlign w:val="bottom"/>
            <w:gridSpan w:val="20"/>
            <w:shd w:val="clear" w:color="auto" w:fill="CCEEFF"/>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520" w:type="dxa"/>
            <w:vAlign w:val="bottom"/>
          </w:tcPr>
          <w:p>
            <w:pPr>
              <w:ind w:left="20"/>
              <w:spacing w:after="0" w:line="175"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6.</w:t>
              </w:r>
            </w:hyperlink>
          </w:p>
        </w:tc>
        <w:tc>
          <w:tcPr>
            <w:tcW w:w="200" w:type="dxa"/>
            <w:vAlign w:val="bottom"/>
            <w:gridSpan w:val="3"/>
          </w:tcPr>
          <w:p>
            <w:pPr>
              <w:spacing w:after="0"/>
              <w:rPr>
                <w:sz w:val="15"/>
                <w:szCs w:val="15"/>
                <w:color w:val="auto"/>
              </w:rPr>
            </w:pPr>
          </w:p>
        </w:tc>
        <w:tc>
          <w:tcPr>
            <w:tcW w:w="8020" w:type="dxa"/>
            <w:vAlign w:val="bottom"/>
            <w:gridSpan w:val="19"/>
          </w:tcPr>
          <w:p>
            <w:pPr>
              <w:spacing w:after="0" w:line="175"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420" w:type="dxa"/>
            <w:vAlign w:val="bottom"/>
          </w:tcPr>
          <w:p>
            <w:pPr>
              <w:spacing w:after="0"/>
              <w:rPr>
                <w:sz w:val="15"/>
                <w:szCs w:val="15"/>
                <w:color w:val="auto"/>
              </w:rPr>
            </w:pPr>
          </w:p>
        </w:tc>
        <w:tc>
          <w:tcPr>
            <w:tcW w:w="440" w:type="dxa"/>
            <w:vAlign w:val="bottom"/>
            <w:gridSpan w:val="3"/>
          </w:tcPr>
          <w:p>
            <w:pPr>
              <w:jc w:val="right"/>
              <w:spacing w:after="0" w:line="175"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line="175"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7.</w:t>
              </w:r>
            </w:hyperlink>
          </w:p>
        </w:tc>
        <w:tc>
          <w:tcPr>
            <w:tcW w:w="200" w:type="dxa"/>
            <w:vAlign w:val="bottom"/>
            <w:gridSpan w:val="3"/>
            <w:shd w:val="clear" w:color="auto" w:fill="CCEEFF"/>
          </w:tcPr>
          <w:p>
            <w:pPr>
              <w:spacing w:after="0"/>
              <w:rPr>
                <w:sz w:val="15"/>
                <w:szCs w:val="15"/>
                <w:color w:val="auto"/>
              </w:rPr>
            </w:pPr>
          </w:p>
        </w:tc>
        <w:tc>
          <w:tcPr>
            <w:tcW w:w="6420" w:type="dxa"/>
            <w:vAlign w:val="bottom"/>
            <w:gridSpan w:val="16"/>
            <w:shd w:val="clear" w:color="auto" w:fill="CCEEFF"/>
          </w:tcPr>
          <w:p>
            <w:pPr>
              <w:spacing w:after="0" w:line="175"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gridSpan w:val="4"/>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52">
              <w:r>
                <w:rPr>
                  <w:rFonts w:ascii="Arial" w:cs="Arial" w:eastAsia="Arial" w:hAnsi="Arial"/>
                  <w:sz w:val="18"/>
                  <w:szCs w:val="18"/>
                  <w:color w:val="0000EE"/>
                </w:rPr>
                <w:t>Item 7A.</w:t>
              </w:r>
            </w:hyperlink>
          </w:p>
        </w:tc>
        <w:tc>
          <w:tcPr>
            <w:tcW w:w="9440" w:type="dxa"/>
            <w:vAlign w:val="bottom"/>
            <w:gridSpan w:val="20"/>
          </w:tcPr>
          <w:p>
            <w:pPr>
              <w:spacing w:after="0" w:line="175"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440" w:type="dxa"/>
            <w:vAlign w:val="bottom"/>
            <w:gridSpan w:val="3"/>
          </w:tcPr>
          <w:p>
            <w:pPr>
              <w:jc w:val="right"/>
              <w:spacing w:after="0" w:line="175" w:lineRule="exact"/>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line="175"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Item 8.</w:t>
              </w:r>
            </w:hyperlink>
          </w:p>
        </w:tc>
        <w:tc>
          <w:tcPr>
            <w:tcW w:w="200" w:type="dxa"/>
            <w:vAlign w:val="bottom"/>
            <w:gridSpan w:val="3"/>
            <w:shd w:val="clear" w:color="auto" w:fill="CCEEFF"/>
          </w:tcPr>
          <w:p>
            <w:pPr>
              <w:spacing w:after="0"/>
              <w:rPr>
                <w:sz w:val="15"/>
                <w:szCs w:val="15"/>
                <w:color w:val="auto"/>
              </w:rPr>
            </w:pPr>
          </w:p>
        </w:tc>
        <w:tc>
          <w:tcPr>
            <w:tcW w:w="3320" w:type="dxa"/>
            <w:vAlign w:val="bottom"/>
            <w:gridSpan w:val="12"/>
            <w:shd w:val="clear" w:color="auto" w:fill="CCEEFF"/>
          </w:tcPr>
          <w:p>
            <w:pPr>
              <w:spacing w:after="0" w:line="175"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Financial Statements and Supplementary Data</w:t>
              </w:r>
            </w:hyperlink>
          </w:p>
        </w:tc>
        <w:tc>
          <w:tcPr>
            <w:tcW w:w="6120" w:type="dxa"/>
            <w:vAlign w:val="bottom"/>
            <w:gridSpan w:val="8"/>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520" w:type="dxa"/>
            <w:vAlign w:val="bottom"/>
          </w:tcPr>
          <w:p>
            <w:pPr>
              <w:ind w:left="20"/>
              <w:spacing w:after="0" w:line="175"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Item 9.</w:t>
              </w:r>
            </w:hyperlink>
          </w:p>
        </w:tc>
        <w:tc>
          <w:tcPr>
            <w:tcW w:w="200" w:type="dxa"/>
            <w:vAlign w:val="bottom"/>
            <w:gridSpan w:val="3"/>
          </w:tcPr>
          <w:p>
            <w:pPr>
              <w:spacing w:after="0"/>
              <w:rPr>
                <w:sz w:val="15"/>
                <w:szCs w:val="15"/>
                <w:color w:val="auto"/>
              </w:rPr>
            </w:pPr>
          </w:p>
        </w:tc>
        <w:tc>
          <w:tcPr>
            <w:tcW w:w="9440" w:type="dxa"/>
            <w:vAlign w:val="bottom"/>
            <w:gridSpan w:val="20"/>
          </w:tcPr>
          <w:p>
            <w:pPr>
              <w:spacing w:after="0" w:line="175" w:lineRule="exact"/>
              <w:rPr>
                <w:rFonts w:ascii="Arial" w:cs="Arial" w:eastAsia="Arial" w:hAnsi="Arial"/>
                <w:sz w:val="18"/>
                <w:szCs w:val="18"/>
                <w:color w:val="0000EE"/>
              </w:rPr>
            </w:pPr>
            <w:hyperlink w:anchor="page90">
              <w:r>
                <w:rPr>
                  <w:rFonts w:ascii="Arial" w:cs="Arial" w:eastAsia="Arial" w:hAnsi="Arial"/>
                  <w:sz w:val="18"/>
                  <w:szCs w:val="18"/>
                  <w:color w:val="0000EE"/>
                </w:rPr>
                <w:t>Changes in and Disagreements With Accountants on Accounting and Financial Disclosure</w:t>
              </w:r>
            </w:hyperlink>
          </w:p>
        </w:tc>
        <w:tc>
          <w:tcPr>
            <w:tcW w:w="440" w:type="dxa"/>
            <w:vAlign w:val="bottom"/>
            <w:gridSpan w:val="3"/>
          </w:tcPr>
          <w:p>
            <w:pPr>
              <w:jc w:val="right"/>
              <w:spacing w:after="0" w:line="175" w:lineRule="exact"/>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20"/>
              <w:spacing w:after="0" w:line="175" w:lineRule="exact"/>
              <w:rPr>
                <w:rFonts w:ascii="Arial" w:cs="Arial" w:eastAsia="Arial" w:hAnsi="Arial"/>
                <w:sz w:val="18"/>
                <w:szCs w:val="18"/>
                <w:color w:val="0000EE"/>
              </w:rPr>
            </w:pPr>
            <w:hyperlink w:anchor="page90">
              <w:r>
                <w:rPr>
                  <w:rFonts w:ascii="Arial" w:cs="Arial" w:eastAsia="Arial" w:hAnsi="Arial"/>
                  <w:sz w:val="18"/>
                  <w:szCs w:val="18"/>
                  <w:color w:val="0000EE"/>
                </w:rPr>
                <w:t>Item 9A.</w:t>
              </w:r>
            </w:hyperlink>
          </w:p>
        </w:tc>
        <w:tc>
          <w:tcPr>
            <w:tcW w:w="9440" w:type="dxa"/>
            <w:vAlign w:val="bottom"/>
            <w:gridSpan w:val="20"/>
            <w:shd w:val="clear" w:color="auto" w:fill="CCEEFF"/>
          </w:tcPr>
          <w:p>
            <w:pPr>
              <w:spacing w:after="0" w:line="175" w:lineRule="exact"/>
              <w:rPr>
                <w:rFonts w:ascii="Arial" w:cs="Arial" w:eastAsia="Arial" w:hAnsi="Arial"/>
                <w:sz w:val="18"/>
                <w:szCs w:val="18"/>
                <w:color w:val="0000EE"/>
              </w:rPr>
            </w:pPr>
            <w:hyperlink w:anchor="page90">
              <w:r>
                <w:rPr>
                  <w:rFonts w:ascii="Arial" w:cs="Arial" w:eastAsia="Arial" w:hAnsi="Arial"/>
                  <w:sz w:val="18"/>
                  <w:szCs w:val="18"/>
                  <w:color w:val="0000EE"/>
                </w:rPr>
                <w:t>Controls and Procedures</w:t>
              </w:r>
            </w:hyperlink>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640" w:type="dxa"/>
            <w:vAlign w:val="bottom"/>
            <w:gridSpan w:val="3"/>
          </w:tcPr>
          <w:p>
            <w:pPr>
              <w:ind w:left="20"/>
              <w:spacing w:after="0" w:line="175"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Item 9B.</w:t>
              </w:r>
            </w:hyperlink>
          </w:p>
        </w:tc>
        <w:tc>
          <w:tcPr>
            <w:tcW w:w="80" w:type="dxa"/>
            <w:vAlign w:val="bottom"/>
          </w:tcPr>
          <w:p>
            <w:pPr>
              <w:spacing w:after="0"/>
              <w:rPr>
                <w:sz w:val="15"/>
                <w:szCs w:val="15"/>
                <w:color w:val="auto"/>
              </w:rPr>
            </w:pPr>
          </w:p>
        </w:tc>
        <w:tc>
          <w:tcPr>
            <w:tcW w:w="1760" w:type="dxa"/>
            <w:vAlign w:val="bottom"/>
            <w:gridSpan w:val="7"/>
          </w:tcPr>
          <w:p>
            <w:pPr>
              <w:spacing w:after="0" w:line="175" w:lineRule="exact"/>
              <w:rPr>
                <w:rFonts w:ascii="Arial" w:cs="Arial" w:eastAsia="Arial" w:hAnsi="Arial"/>
                <w:sz w:val="18"/>
                <w:szCs w:val="18"/>
                <w:color w:val="0000EE"/>
              </w:rPr>
            </w:pPr>
            <w:hyperlink w:anchor="page91">
              <w:r>
                <w:rPr>
                  <w:rFonts w:ascii="Arial" w:cs="Arial" w:eastAsia="Arial" w:hAnsi="Arial"/>
                  <w:sz w:val="18"/>
                  <w:szCs w:val="18"/>
                  <w:color w:val="0000EE"/>
                </w:rPr>
                <w:t>Other Information</w:t>
              </w:r>
            </w:hyperlink>
          </w:p>
        </w:tc>
        <w:tc>
          <w:tcPr>
            <w:tcW w:w="7680" w:type="dxa"/>
            <w:vAlign w:val="bottom"/>
            <w:gridSpan w:val="13"/>
          </w:tcPr>
          <w:p>
            <w:pPr>
              <w:spacing w:after="0"/>
              <w:rPr>
                <w:sz w:val="15"/>
                <w:szCs w:val="15"/>
                <w:color w:val="auto"/>
              </w:rPr>
            </w:pPr>
          </w:p>
        </w:tc>
        <w:tc>
          <w:tcPr>
            <w:tcW w:w="440" w:type="dxa"/>
            <w:vAlign w:val="bottom"/>
            <w:gridSpan w:val="3"/>
          </w:tcPr>
          <w:p>
            <w:pPr>
              <w:jc w:val="right"/>
              <w:spacing w:after="0" w:line="175" w:lineRule="exact"/>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5"/>
        </w:trPr>
        <w:tc>
          <w:tcPr>
            <w:tcW w:w="1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PART III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92">
              <w:r>
                <w:rPr>
                  <w:rFonts w:ascii="Arial" w:cs="Arial" w:eastAsia="Arial" w:hAnsi="Arial"/>
                  <w:sz w:val="18"/>
                  <w:szCs w:val="18"/>
                  <w:color w:val="0000EE"/>
                </w:rPr>
                <w:t>Item 10.</w:t>
              </w:r>
            </w:hyperlink>
          </w:p>
        </w:tc>
        <w:tc>
          <w:tcPr>
            <w:tcW w:w="9440" w:type="dxa"/>
            <w:vAlign w:val="bottom"/>
            <w:gridSpan w:val="20"/>
          </w:tcPr>
          <w:p>
            <w:pPr>
              <w:spacing w:after="0" w:line="175" w:lineRule="exact"/>
              <w:rPr>
                <w:rFonts w:ascii="Arial" w:cs="Arial" w:eastAsia="Arial" w:hAnsi="Arial"/>
                <w:sz w:val="18"/>
                <w:szCs w:val="18"/>
                <w:color w:val="0000EE"/>
              </w:rPr>
            </w:pPr>
            <w:hyperlink w:anchor="page92">
              <w:r>
                <w:rPr>
                  <w:rFonts w:ascii="Arial" w:cs="Arial" w:eastAsia="Arial" w:hAnsi="Arial"/>
                  <w:sz w:val="18"/>
                  <w:szCs w:val="18"/>
                  <w:color w:val="0000EE"/>
                </w:rPr>
                <w:t>Directors, Executive Officers and Corporate Governance</w:t>
              </w:r>
            </w:hyperlink>
          </w:p>
        </w:tc>
        <w:tc>
          <w:tcPr>
            <w:tcW w:w="440" w:type="dxa"/>
            <w:vAlign w:val="bottom"/>
            <w:gridSpan w:val="3"/>
          </w:tcPr>
          <w:p>
            <w:pPr>
              <w:jc w:val="right"/>
              <w:spacing w:after="0" w:line="175" w:lineRule="exact"/>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0"/>
              <w:spacing w:after="0" w:line="175" w:lineRule="exact"/>
              <w:rPr>
                <w:rFonts w:ascii="Arial" w:cs="Arial" w:eastAsia="Arial" w:hAnsi="Arial"/>
                <w:sz w:val="18"/>
                <w:szCs w:val="18"/>
                <w:color w:val="0000EE"/>
                <w:w w:val="86"/>
              </w:rPr>
            </w:pPr>
            <w:hyperlink w:anchor="page92">
              <w:r>
                <w:rPr>
                  <w:rFonts w:ascii="Arial" w:cs="Arial" w:eastAsia="Arial" w:hAnsi="Arial"/>
                  <w:sz w:val="18"/>
                  <w:szCs w:val="18"/>
                  <w:color w:val="0000EE"/>
                  <w:w w:val="86"/>
                </w:rPr>
                <w:t>Item 11.</w:t>
              </w:r>
            </w:hyperlink>
          </w:p>
        </w:tc>
        <w:tc>
          <w:tcPr>
            <w:tcW w:w="120" w:type="dxa"/>
            <w:vAlign w:val="bottom"/>
            <w:gridSpan w:val="2"/>
            <w:shd w:val="clear" w:color="auto" w:fill="CCEEFF"/>
          </w:tcPr>
          <w:p>
            <w:pPr>
              <w:spacing w:after="0"/>
              <w:rPr>
                <w:sz w:val="15"/>
                <w:szCs w:val="15"/>
                <w:color w:val="auto"/>
              </w:rPr>
            </w:pPr>
          </w:p>
        </w:tc>
        <w:tc>
          <w:tcPr>
            <w:tcW w:w="1800" w:type="dxa"/>
            <w:vAlign w:val="bottom"/>
            <w:gridSpan w:val="8"/>
            <w:shd w:val="clear" w:color="auto" w:fill="CCEEFF"/>
          </w:tcPr>
          <w:p>
            <w:pPr>
              <w:spacing w:after="0" w:line="175"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Executive Compensation</w:t>
              </w:r>
            </w:hyperlink>
          </w:p>
        </w:tc>
        <w:tc>
          <w:tcPr>
            <w:tcW w:w="7640" w:type="dxa"/>
            <w:vAlign w:val="bottom"/>
            <w:gridSpan w:val="12"/>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92">
              <w:r>
                <w:rPr>
                  <w:rFonts w:ascii="Arial" w:cs="Arial" w:eastAsia="Arial" w:hAnsi="Arial"/>
                  <w:sz w:val="18"/>
                  <w:szCs w:val="18"/>
                  <w:color w:val="0000EE"/>
                </w:rPr>
                <w:t>Item 12.</w:t>
              </w:r>
            </w:hyperlink>
          </w:p>
        </w:tc>
        <w:tc>
          <w:tcPr>
            <w:tcW w:w="9440" w:type="dxa"/>
            <w:vAlign w:val="bottom"/>
            <w:gridSpan w:val="20"/>
          </w:tcPr>
          <w:p>
            <w:pPr>
              <w:spacing w:after="0" w:line="175" w:lineRule="exact"/>
              <w:rPr>
                <w:rFonts w:ascii="Arial" w:cs="Arial" w:eastAsia="Arial" w:hAnsi="Arial"/>
                <w:sz w:val="18"/>
                <w:szCs w:val="18"/>
                <w:color w:val="0000EE"/>
              </w:rPr>
            </w:pPr>
            <w:hyperlink w:anchor="page92">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gridSpan w:val="3"/>
          </w:tcPr>
          <w:p>
            <w:pPr>
              <w:jc w:val="right"/>
              <w:spacing w:after="0" w:line="175" w:lineRule="exact"/>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ind w:left="20"/>
              <w:spacing w:after="0" w:line="175" w:lineRule="exact"/>
              <w:rPr>
                <w:rFonts w:ascii="Arial" w:cs="Arial" w:eastAsia="Arial" w:hAnsi="Arial"/>
                <w:sz w:val="18"/>
                <w:szCs w:val="18"/>
                <w:color w:val="0000EE"/>
              </w:rPr>
            </w:pPr>
            <w:hyperlink w:anchor="page93">
              <w:r>
                <w:rPr>
                  <w:rFonts w:ascii="Arial" w:cs="Arial" w:eastAsia="Arial" w:hAnsi="Arial"/>
                  <w:sz w:val="18"/>
                  <w:szCs w:val="18"/>
                  <w:color w:val="0000EE"/>
                </w:rPr>
                <w:t>Item 13.</w:t>
              </w:r>
            </w:hyperlink>
          </w:p>
        </w:tc>
        <w:tc>
          <w:tcPr>
            <w:tcW w:w="9440" w:type="dxa"/>
            <w:vAlign w:val="bottom"/>
            <w:gridSpan w:val="20"/>
            <w:shd w:val="clear" w:color="auto" w:fill="CCEEFF"/>
          </w:tcPr>
          <w:p>
            <w:pPr>
              <w:spacing w:after="0" w:line="175"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 and Director Independence</w:t>
              </w:r>
            </w:hyperlink>
          </w:p>
        </w:tc>
        <w:tc>
          <w:tcPr>
            <w:tcW w:w="44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93">
              <w:r>
                <w:rPr>
                  <w:rFonts w:ascii="Arial" w:cs="Arial" w:eastAsia="Arial" w:hAnsi="Arial"/>
                  <w:sz w:val="18"/>
                  <w:szCs w:val="18"/>
                  <w:color w:val="0000EE"/>
                </w:rPr>
                <w:t>89</w:t>
              </w:r>
            </w:hyperlink>
          </w:p>
        </w:tc>
        <w:tc>
          <w:tcPr>
            <w:tcW w:w="120" w:type="dxa"/>
            <w:vAlign w:val="bottom"/>
            <w:shd w:val="clear" w:color="auto" w:fill="CCEEFF"/>
          </w:tcPr>
          <w:p>
            <w:pPr>
              <w:spacing w:after="0"/>
              <w:rPr>
                <w:sz w:val="15"/>
                <w:szCs w:val="15"/>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93">
              <w:r>
                <w:rPr>
                  <w:rFonts w:ascii="Arial" w:cs="Arial" w:eastAsia="Arial" w:hAnsi="Arial"/>
                  <w:sz w:val="18"/>
                  <w:szCs w:val="18"/>
                  <w:color w:val="0000EE"/>
                </w:rPr>
                <w:t>Item 14.</w:t>
              </w:r>
            </w:hyperlink>
          </w:p>
        </w:tc>
        <w:tc>
          <w:tcPr>
            <w:tcW w:w="9440" w:type="dxa"/>
            <w:vAlign w:val="bottom"/>
            <w:gridSpan w:val="20"/>
          </w:tcPr>
          <w:p>
            <w:pPr>
              <w:spacing w:after="0" w:line="175"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440" w:type="dxa"/>
            <w:vAlign w:val="bottom"/>
            <w:gridSpan w:val="3"/>
          </w:tcPr>
          <w:p>
            <w:pPr>
              <w:jc w:val="right"/>
              <w:spacing w:after="0" w:line="175" w:lineRule="exact"/>
              <w:rPr>
                <w:rFonts w:ascii="Arial" w:cs="Arial" w:eastAsia="Arial" w:hAnsi="Arial"/>
                <w:sz w:val="18"/>
                <w:szCs w:val="18"/>
                <w:color w:val="0000EE"/>
              </w:rPr>
            </w:pPr>
            <w:hyperlink w:anchor="page93">
              <w:r>
                <w:rPr>
                  <w:rFonts w:ascii="Arial" w:cs="Arial" w:eastAsia="Arial" w:hAnsi="Arial"/>
                  <w:sz w:val="18"/>
                  <w:szCs w:val="18"/>
                  <w:color w:val="0000EE"/>
                </w:rPr>
                <w:t>89</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5"/>
        </w:trPr>
        <w:tc>
          <w:tcPr>
            <w:tcW w:w="1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PART IV</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4"/>
        </w:trPr>
        <w:tc>
          <w:tcPr>
            <w:tcW w:w="360" w:type="dxa"/>
            <w:vAlign w:val="bottom"/>
          </w:tcPr>
          <w:p>
            <w:pPr>
              <w:spacing w:after="0"/>
              <w:rPr>
                <w:sz w:val="15"/>
                <w:szCs w:val="15"/>
                <w:color w:val="auto"/>
              </w:rPr>
            </w:pPr>
          </w:p>
        </w:tc>
        <w:tc>
          <w:tcPr>
            <w:tcW w:w="720" w:type="dxa"/>
            <w:vAlign w:val="bottom"/>
            <w:gridSpan w:val="4"/>
          </w:tcPr>
          <w:p>
            <w:pPr>
              <w:ind w:left="20"/>
              <w:spacing w:after="0" w:line="175" w:lineRule="exact"/>
              <w:rPr>
                <w:rFonts w:ascii="Arial" w:cs="Arial" w:eastAsia="Arial" w:hAnsi="Arial"/>
                <w:sz w:val="18"/>
                <w:szCs w:val="18"/>
                <w:color w:val="0000EE"/>
              </w:rPr>
            </w:pPr>
            <w:hyperlink w:anchor="page94">
              <w:r>
                <w:rPr>
                  <w:rFonts w:ascii="Arial" w:cs="Arial" w:eastAsia="Arial" w:hAnsi="Arial"/>
                  <w:sz w:val="18"/>
                  <w:szCs w:val="18"/>
                  <w:color w:val="0000EE"/>
                </w:rPr>
                <w:t>Item 15.</w:t>
              </w:r>
            </w:hyperlink>
          </w:p>
        </w:tc>
        <w:tc>
          <w:tcPr>
            <w:tcW w:w="9440" w:type="dxa"/>
            <w:vAlign w:val="bottom"/>
            <w:gridSpan w:val="20"/>
          </w:tcPr>
          <w:p>
            <w:pPr>
              <w:spacing w:after="0" w:line="175" w:lineRule="exact"/>
              <w:rPr>
                <w:rFonts w:ascii="Arial" w:cs="Arial" w:eastAsia="Arial" w:hAnsi="Arial"/>
                <w:sz w:val="18"/>
                <w:szCs w:val="18"/>
                <w:color w:val="0000EE"/>
              </w:rPr>
            </w:pPr>
            <w:hyperlink w:anchor="page94">
              <w:r>
                <w:rPr>
                  <w:rFonts w:ascii="Arial" w:cs="Arial" w:eastAsia="Arial" w:hAnsi="Arial"/>
                  <w:sz w:val="18"/>
                  <w:szCs w:val="18"/>
                  <w:color w:val="0000EE"/>
                </w:rPr>
                <w:t>Exhibits and Financial Statement Schedules</w:t>
              </w:r>
            </w:hyperlink>
          </w:p>
        </w:tc>
        <w:tc>
          <w:tcPr>
            <w:tcW w:w="440" w:type="dxa"/>
            <w:vAlign w:val="bottom"/>
            <w:gridSpan w:val="3"/>
          </w:tcPr>
          <w:p>
            <w:pPr>
              <w:jc w:val="right"/>
              <w:spacing w:after="0" w:line="175" w:lineRule="exact"/>
              <w:rPr>
                <w:rFonts w:ascii="Arial" w:cs="Arial" w:eastAsia="Arial" w:hAnsi="Arial"/>
                <w:sz w:val="18"/>
                <w:szCs w:val="18"/>
                <w:color w:val="0000EE"/>
              </w:rPr>
            </w:pPr>
            <w:hyperlink w:anchor="page94">
              <w:r>
                <w:rPr>
                  <w:rFonts w:ascii="Arial" w:cs="Arial" w:eastAsia="Arial" w:hAnsi="Arial"/>
                  <w:sz w:val="18"/>
                  <w:szCs w:val="18"/>
                  <w:color w:val="0000EE"/>
                </w:rPr>
                <w:t>90</w:t>
              </w:r>
            </w:hyperlink>
          </w:p>
        </w:tc>
        <w:tc>
          <w:tcPr>
            <w:tcW w:w="12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-3465830</wp:posOffset>
            </wp:positionV>
            <wp:extent cx="4700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00905" cy="8255"/>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-3465830</wp:posOffset>
            </wp:positionV>
            <wp:extent cx="340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pacing w:after="0" w:line="100"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160"/>
          </w:cols>
          <w:pgMar w:left="360" w:top="787" w:right="3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ind w:left="40" w:firstLine="268"/>
        <w:spacing w:after="0" w:line="266" w:lineRule="auto"/>
        <w:rPr>
          <w:sz w:val="20"/>
          <w:szCs w:val="20"/>
          <w:color w:val="auto"/>
        </w:rPr>
      </w:pPr>
      <w:r>
        <w:rPr>
          <w:rFonts w:ascii="Arial" w:cs="Arial" w:eastAsia="Arial" w:hAnsi="Arial"/>
          <w:sz w:val="17"/>
          <w:szCs w:val="17"/>
          <w:color w:val="auto"/>
        </w:rPr>
        <w:t>Statements in this Annual Report on Form 10-K contain various forward-looking statements within the meaning of Section 27A of the Securities Act of 1933, as amended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forward-looking statements in this Annual Report on Form 10-K speak only as of the date of this Annual Report on Form 10</w:t>
      </w:r>
      <w:r>
        <w:rPr>
          <w:rFonts w:ascii="Arial" w:cs="Arial" w:eastAsia="Arial" w:hAnsi="Arial"/>
          <w:sz w:val="17"/>
          <w:szCs w:val="17"/>
          <w:b w:val="1"/>
          <w:bCs w:val="1"/>
          <w:color w:val="auto"/>
        </w:rPr>
        <w:t>-</w:t>
      </w:r>
      <w:r>
        <w:rPr>
          <w:rFonts w:ascii="Arial" w:cs="Arial" w:eastAsia="Arial" w:hAnsi="Arial"/>
          <w:sz w:val="17"/>
          <w:szCs w:val="17"/>
          <w:color w:val="auto"/>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in Item 1A — “Risk Factors” of this report, may cause our actual results, performance or achievements to differ materially from any future results, performance or achievements expressed or implied by these forward-looking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WEBSITE ACCESS TO COMPANY’S REPORTS</w:t>
      </w:r>
    </w:p>
    <w:p>
      <w:pPr>
        <w:spacing w:after="0" w:line="119" w:lineRule="exact"/>
        <w:rPr>
          <w:sz w:val="20"/>
          <w:szCs w:val="20"/>
          <w:color w:val="auto"/>
        </w:rPr>
      </w:pPr>
    </w:p>
    <w:p>
      <w:pPr>
        <w:ind w:left="40" w:right="20" w:firstLine="268"/>
        <w:spacing w:after="0" w:line="298"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www.myrgroup.com</w:t>
      </w:r>
      <w:r>
        <w:rPr>
          <w:rFonts w:ascii="Arial" w:cs="Arial" w:eastAsia="Arial" w:hAnsi="Arial"/>
          <w:sz w:val="16"/>
          <w:szCs w:val="16"/>
          <w:color w:val="auto"/>
        </w:rPr>
        <w:t>. Our Annual Reports on Form 10-K, quarterly reports on Form 10-Q, current reports on Form 8-K, and amendments to those reports filed or furnished pursuant to Section 13(a) or 15(d) of the Exchange Act will be available free of charge through our website as soon as reasonably possible after they are electronically filed with, or furnished to, the Securities and Exchange Commission (the “SEC”). The information on our website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9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1.Business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 owned subsidiaries, including: The L. E. Myers Co.; Harlan Electric Company; Great Southwestern Construction, Inc.; Sturgeon Electric Company, Inc.; MYR Transmission Services, Inc.; E.S. Boulos Company; Western Pacific Enterprises Ltd.; High Country Line Construction, Inc.; MYR Transmission Services Canada, Ltd.; Northern Transmission Services, Ltd.; Sturgeon Electric California, LLC; and GSW Integrated Services, LLC. We provide electrical construction services, and limited gas construction services, through a network of local offices located throughout the United States and western Canada. We provide a broad range of services, including design, engineering, procurement, construction, upgrade, maintenance and repair services, with a particular focus on construction, maintenance and repair.</w:t>
      </w:r>
    </w:p>
    <w:p>
      <w:pPr>
        <w:spacing w:after="0" w:line="71" w:lineRule="exact"/>
        <w:rPr>
          <w:sz w:val="20"/>
          <w:szCs w:val="20"/>
          <w:color w:val="auto"/>
        </w:rPr>
      </w:pPr>
    </w:p>
    <w:p>
      <w:pPr>
        <w:ind w:left="40" w:right="340" w:firstLine="268"/>
        <w:spacing w:after="0" w:line="272" w:lineRule="auto"/>
        <w:rPr>
          <w:sz w:val="20"/>
          <w:szCs w:val="20"/>
          <w:color w:val="auto"/>
        </w:rPr>
      </w:pPr>
      <w:r>
        <w:rPr>
          <w:rFonts w:ascii="Arial" w:cs="Arial" w:eastAsia="Arial" w:hAnsi="Arial"/>
          <w:sz w:val="18"/>
          <w:szCs w:val="18"/>
          <w:color w:val="auto"/>
        </w:rPr>
        <w:t>Our principal executive offices are located at 1701 Golf Road, Suite 3-1012, Rolling Meadows, Illinois 60008. The telephone number of our principal executive offices is (847) 290-1891.</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Reportable Segments</w:t>
      </w:r>
    </w:p>
    <w:p>
      <w:pPr>
        <w:spacing w:after="0" w:line="119" w:lineRule="exact"/>
        <w:rPr>
          <w:sz w:val="20"/>
          <w:szCs w:val="20"/>
          <w:color w:val="auto"/>
        </w:rPr>
      </w:pPr>
    </w:p>
    <w:p>
      <w:pPr>
        <w:ind w:left="40" w:right="20" w:firstLine="268"/>
        <w:spacing w:after="0" w:line="254" w:lineRule="auto"/>
        <w:rPr>
          <w:sz w:val="20"/>
          <w:szCs w:val="20"/>
          <w:color w:val="auto"/>
        </w:rPr>
      </w:pPr>
      <w:r>
        <w:rPr>
          <w:rFonts w:ascii="Arial" w:cs="Arial" w:eastAsia="Arial" w:hAnsi="Arial"/>
          <w:sz w:val="18"/>
          <w:szCs w:val="18"/>
          <w:color w:val="auto"/>
        </w:rPr>
        <w:t>Through our subsidiaries, we are a leading specialty contractor serving the electric utility infrastructure, commercial and industrial construction markets in the United States and western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w:t>
      </w:r>
    </w:p>
    <w:p>
      <w:pPr>
        <w:spacing w:after="0" w:line="85" w:lineRule="exact"/>
        <w:rPr>
          <w:sz w:val="20"/>
          <w:szCs w:val="20"/>
          <w:color w:val="auto"/>
        </w:rPr>
      </w:pPr>
    </w:p>
    <w:p>
      <w:pPr>
        <w:ind w:left="40" w:right="120" w:firstLine="268"/>
        <w:spacing w:after="0" w:line="291" w:lineRule="auto"/>
        <w:rPr>
          <w:sz w:val="20"/>
          <w:szCs w:val="20"/>
          <w:color w:val="auto"/>
        </w:rPr>
      </w:pPr>
      <w:r>
        <w:rPr>
          <w:rFonts w:ascii="Arial" w:cs="Arial" w:eastAsia="Arial" w:hAnsi="Arial"/>
          <w:sz w:val="16"/>
          <w:szCs w:val="16"/>
          <w:i w:val="1"/>
          <w:iCs w:val="1"/>
          <w:color w:val="auto"/>
        </w:rPr>
        <w:t xml:space="preserve">Transmission and Distribution segment </w:t>
      </w:r>
      <w:r>
        <w:rPr>
          <w:rFonts w:ascii="Arial" w:cs="Arial" w:eastAsia="Arial" w:hAnsi="Arial"/>
          <w:sz w:val="16"/>
          <w:szCs w:val="16"/>
          <w:color w:val="auto"/>
        </w:rPr>
        <w:t>We have operated in the T&amp;D industry since 1891. We are one of the largest U.S. contractors servicing the T&amp;D</w:t>
      </w:r>
      <w:r>
        <w:rPr>
          <w:rFonts w:ascii="Arial" w:cs="Arial" w:eastAsia="Arial" w:hAnsi="Arial"/>
          <w:sz w:val="16"/>
          <w:szCs w:val="16"/>
          <w:i w:val="1"/>
          <w:iCs w:val="1"/>
          <w:color w:val="auto"/>
        </w:rPr>
        <w:t xml:space="preserve"> </w:t>
      </w:r>
      <w:r>
        <w:rPr>
          <w:rFonts w:ascii="Arial" w:cs="Arial" w:eastAsia="Arial" w:hAnsi="Arial"/>
          <w:sz w:val="16"/>
          <w:szCs w:val="16"/>
          <w:color w:val="auto"/>
        </w:rPr>
        <w:t>sector of the electric utility and renewable energy industries. We provide a broad range of services on electric transmission and distribution networks and substation facilities, which include design, engineering, procurement, construction, upgrade, maintenance and repair services, with a particular focus on construction, maintenance and repair, to customers in the electric utility and the renewable energy industries throughout the United States and Canada. Our T&amp;D services include the construction and maintenance of high voltage transmission lines, substations and lower voltage underground and overhead distribution systems. We also provide emergency restoration services in response to hurricane, ice or other storm-related damage.</w:t>
      </w:r>
    </w:p>
    <w:p>
      <w:pPr>
        <w:spacing w:after="0" w:line="56" w:lineRule="exact"/>
        <w:rPr>
          <w:sz w:val="20"/>
          <w:szCs w:val="20"/>
          <w:color w:val="auto"/>
        </w:rPr>
      </w:pPr>
    </w:p>
    <w:p>
      <w:pPr>
        <w:ind w:left="40" w:right="280" w:firstLine="268"/>
        <w:spacing w:after="0" w:line="256" w:lineRule="auto"/>
        <w:rPr>
          <w:sz w:val="20"/>
          <w:szCs w:val="20"/>
          <w:color w:val="auto"/>
        </w:rPr>
      </w:pPr>
      <w:r>
        <w:rPr>
          <w:rFonts w:ascii="Arial" w:cs="Arial" w:eastAsia="Arial" w:hAnsi="Arial"/>
          <w:sz w:val="18"/>
          <w:szCs w:val="18"/>
          <w:color w:val="auto"/>
        </w:rPr>
        <w:t>In our T&amp;D segment, we generally serve the electric utility industry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spacing w:after="0" w:line="83"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i w:val="1"/>
          <w:iCs w:val="1"/>
          <w:color w:val="auto"/>
        </w:rPr>
        <w:t xml:space="preserve">Commercial and Industrial segment </w:t>
      </w:r>
      <w:r>
        <w:rPr>
          <w:rFonts w:ascii="Arial" w:cs="Arial" w:eastAsia="Arial" w:hAnsi="Arial"/>
          <w:sz w:val="17"/>
          <w:szCs w:val="17"/>
          <w:color w:val="auto"/>
        </w:rPr>
        <w:t>We have provided electrical contracting services for C&amp;I construction since 1912. Our C&amp;I segment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such as the design, installation, maintenance and repair of commercial and industrial wiring, the installation of traffic networks and the installation of bridge, roadway and tunnel lighting. Our C&amp;I operations are primarily in the western and northeastern United States and in western Canada where we have sufficient scale to deploy the level of resources necessary to achieve significant market share. We concentrate our efforts on projects where our technical and project management expertise are critical to successful and timely execution. Typical C&amp;I contracts cover electrical contracting services for airports, hospitals, data centers, hotels, stadiums, convention centers, manufacturing plants, processing facilities, waste-water treatment facilities, mining facilities and transportation control and management systems.</w:t>
      </w:r>
    </w:p>
    <w:p>
      <w:pPr>
        <w:spacing w:after="0" w:line="200" w:lineRule="exact"/>
        <w:rPr>
          <w:sz w:val="20"/>
          <w:szCs w:val="20"/>
          <w:color w:val="auto"/>
        </w:rPr>
      </w:pPr>
    </w:p>
    <w:p>
      <w:pPr>
        <w:spacing w:after="0" w:line="3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180" w:firstLine="268"/>
        <w:spacing w:after="0" w:line="272" w:lineRule="auto"/>
        <w:rPr>
          <w:sz w:val="20"/>
          <w:szCs w:val="20"/>
          <w:color w:val="auto"/>
        </w:rPr>
      </w:pPr>
      <w:r>
        <w:rPr>
          <w:rFonts w:ascii="Arial" w:cs="Arial" w:eastAsia="Arial" w:hAnsi="Arial"/>
          <w:sz w:val="18"/>
          <w:szCs w:val="18"/>
          <w:color w:val="auto"/>
        </w:rPr>
        <w:t>In our C&amp;I segment, we generally provide our electric construction and maintenance services as a subcontractor to general contractors, but also contract directly with facility owners. We have a diverse customer base with many long-standing relationships.</w:t>
      </w:r>
    </w:p>
    <w:p>
      <w:pPr>
        <w:spacing w:after="0" w:line="67" w:lineRule="exact"/>
        <w:rPr>
          <w:sz w:val="20"/>
          <w:szCs w:val="20"/>
          <w:color w:val="auto"/>
        </w:rPr>
      </w:pPr>
    </w:p>
    <w:p>
      <w:pPr>
        <w:ind w:left="40" w:right="660" w:firstLine="268"/>
        <w:spacing w:after="0" w:line="272" w:lineRule="auto"/>
        <w:rPr>
          <w:sz w:val="20"/>
          <w:szCs w:val="20"/>
          <w:color w:val="auto"/>
        </w:rPr>
      </w:pPr>
      <w:r>
        <w:rPr>
          <w:rFonts w:ascii="Arial" w:cs="Arial" w:eastAsia="Arial" w:hAnsi="Arial"/>
          <w:sz w:val="18"/>
          <w:szCs w:val="18"/>
          <w:color w:val="auto"/>
        </w:rPr>
        <w:t>Additional financial information related to our business segments is provided under “Item 7. Management’s Discussion and Analysis of Financial Condition and Results of Operations” and in Note 15 — Segment Information to our Financial Statements.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Customers</w:t>
      </w:r>
    </w:p>
    <w:p>
      <w:pPr>
        <w:spacing w:after="0" w:line="119"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Our T&amp;D customers include many of the leading companies in the electric utility industry. Our T&amp;D customers include investor-owned utilities, cooperatives, private developers, government-funded utilities, independent power producers, independent transmission companies, industrial facility owners and other contractors. Our C&amp;I customer base includes general contractors, commercial and industrial facility owners, local governments and developers. We have long-standing relationships with many of our customers, and we cultivate these relationships at all levels of our organization from senior management to project supervisors.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and emphasis on safety and customer service contribute to obtaining new contracts with both existing and new customers.</w:t>
      </w:r>
    </w:p>
    <w:p>
      <w:pPr>
        <w:spacing w:after="0" w:line="79" w:lineRule="exact"/>
        <w:rPr>
          <w:sz w:val="20"/>
          <w:szCs w:val="20"/>
          <w:color w:val="auto"/>
        </w:rPr>
      </w:pPr>
    </w:p>
    <w:p>
      <w:pPr>
        <w:ind w:left="40" w:right="100" w:firstLine="268"/>
        <w:spacing w:after="0" w:line="260" w:lineRule="auto"/>
        <w:rPr>
          <w:sz w:val="20"/>
          <w:szCs w:val="20"/>
          <w:color w:val="auto"/>
        </w:rPr>
      </w:pPr>
      <w:r>
        <w:rPr>
          <w:rFonts w:ascii="Arial" w:cs="Arial" w:eastAsia="Arial" w:hAnsi="Arial"/>
          <w:sz w:val="18"/>
          <w:szCs w:val="18"/>
          <w:color w:val="auto"/>
        </w:rPr>
        <w:t>For the years ended December 31, 2017, 2016 and 2015, our top 10 customers accounted for 40.4%, 46.4%, and 44.6% of our revenues, respectively. For the year ended December 31, 2017, one T&amp;D customer accounted for 10.7% of our revenues. For the years ended December 31, 2016 and 2015, no single customer accounted for more than 10.0% of annual revenues.</w:t>
      </w:r>
    </w:p>
    <w:p>
      <w:pPr>
        <w:spacing w:after="0" w:line="78" w:lineRule="exact"/>
        <w:rPr>
          <w:sz w:val="20"/>
          <w:szCs w:val="20"/>
          <w:color w:val="auto"/>
        </w:rPr>
      </w:pPr>
    </w:p>
    <w:p>
      <w:pPr>
        <w:ind w:left="40" w:right="440" w:firstLine="268"/>
        <w:spacing w:after="0" w:line="336" w:lineRule="auto"/>
        <w:rPr>
          <w:sz w:val="20"/>
          <w:szCs w:val="20"/>
          <w:color w:val="auto"/>
        </w:rPr>
      </w:pPr>
      <w:r>
        <w:rPr>
          <w:rFonts w:ascii="Arial" w:cs="Arial" w:eastAsia="Arial" w:hAnsi="Arial"/>
          <w:sz w:val="16"/>
          <w:szCs w:val="16"/>
          <w:color w:val="auto"/>
        </w:rPr>
        <w:t>For the years ended December 31, 2017, 2016 and 2015, revenues derived from T&amp;D customers accounted for 62.7%, 71.7% and 74.9% of our total revenues, respectively, and revenues derived from C&amp;I customers accounted for 37.3%, 28.3% and 25.1% of our total revenues, respectively.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Types of Service Arrangements and Bidding Process</w:t>
      </w:r>
    </w:p>
    <w:p>
      <w:pPr>
        <w:spacing w:after="0" w:line="119"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Although there is considerable variation in the terms of the contracts we undertake, our contracts are primarily structured as fixed-price agreements, under which we agree to do the entire project for a fixed amount, or unit-price agreements, under which we agree to do the work at a fixed price per unit of work as specified in the agreement. We also enter into time-and-equipment contracts under which we are paid for labor and equipment at negotiated hourly billing rates and for other expenses, including materials, as incurred, and time-and-materials contracts under which we are paid for labor at negotiated hourly billing rates and for other expenses, including materials, as incurred. Finally, we sometimes enter into cost-plus contracts, where we are paid for our costs plus a negotiated margin. On occasion, time-and-equipment, time-and-materials and cost-plus contracts require us to include a guaranteed not-to-exceed maximum price.</w:t>
      </w:r>
    </w:p>
    <w:p>
      <w:pPr>
        <w:spacing w:after="0" w:line="74" w:lineRule="exact"/>
        <w:rPr>
          <w:sz w:val="20"/>
          <w:szCs w:val="20"/>
          <w:color w:val="auto"/>
        </w:rPr>
      </w:pPr>
    </w:p>
    <w:p>
      <w:pPr>
        <w:ind w:left="40" w:right="40" w:firstLine="268"/>
        <w:spacing w:after="0" w:line="253" w:lineRule="auto"/>
        <w:rPr>
          <w:sz w:val="20"/>
          <w:szCs w:val="20"/>
          <w:color w:val="auto"/>
        </w:rPr>
      </w:pPr>
      <w:r>
        <w:rPr>
          <w:rFonts w:ascii="Arial" w:cs="Arial" w:eastAsia="Arial" w:hAnsi="Arial"/>
          <w:sz w:val="18"/>
          <w:szCs w:val="18"/>
          <w:color w:val="auto"/>
        </w:rPr>
        <w:t>Fixed-price and unit-price contracts typically have the highest potential margins; however, they hold a greater risk in terms of profitability because cost overruns may not be recoverable. Time-and-equipment, time-and-materials and cost-plus contracts have less margin upside, but generally have a lower risk of cost overruns. Work in our T&amp;D segment is generally completed under fixed-price, time-and-materials, time-and-equipment, unit-price and cost-plus agreements. C&amp;I work is typically performed under fixed-price, time-and-materials, cost-plus, and unit-price agreements. Fixed-price contracts accounted for 43.5%, of total revenue for the year ended December 31, 2017, including 31.4%, of our total revenue for our T&amp;D segment and 63.7%, of our total revenue for our C&amp;I segment.</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0" w:firstLine="268"/>
        <w:spacing w:after="0" w:line="298" w:lineRule="auto"/>
        <w:rPr>
          <w:sz w:val="20"/>
          <w:szCs w:val="20"/>
          <w:color w:val="auto"/>
        </w:rPr>
      </w:pPr>
      <w:r>
        <w:rPr>
          <w:rFonts w:ascii="Arial" w:cs="Arial" w:eastAsia="Arial" w:hAnsi="Arial"/>
          <w:sz w:val="16"/>
          <w:szCs w:val="16"/>
          <w:color w:val="auto"/>
        </w:rPr>
        <w:t>Our EPC contracts are typically fixed-price.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or construction management firm. When acting as a subcontractor for an EPC project, we typically provide construction services only, although we may also perform both the construction and procurement functions.</w:t>
      </w:r>
    </w:p>
    <w:p>
      <w:pPr>
        <w:spacing w:after="0" w:line="52" w:lineRule="exact"/>
        <w:rPr>
          <w:sz w:val="20"/>
          <w:szCs w:val="20"/>
          <w:color w:val="auto"/>
        </w:rPr>
      </w:pPr>
    </w:p>
    <w:p>
      <w:pPr>
        <w:ind w:left="40" w:right="80" w:firstLine="268"/>
        <w:spacing w:after="0" w:line="291" w:lineRule="auto"/>
        <w:rPr>
          <w:sz w:val="20"/>
          <w:szCs w:val="20"/>
          <w:color w:val="auto"/>
        </w:rPr>
      </w:pPr>
      <w:r>
        <w:rPr>
          <w:rFonts w:ascii="Arial" w:cs="Arial" w:eastAsia="Arial" w:hAnsi="Arial"/>
          <w:sz w:val="16"/>
          <w:szCs w:val="16"/>
          <w:color w:val="auto"/>
        </w:rPr>
        <w:t>Our T&amp;D segment also provides services under MSAs that cover maintenance, upgrade and extension services, as well as new construction. Work performed under MSAs is typically billed on a unit-price, time-and-materials or time-and-equipment basis. MSAs are typically one to three years in duration; however, most of our contracts, including MSAs, may be terminated by our customers on short notice, typically 30 to 90 days, even if we are not in default under the contract. Under MSAs, customers generally agree to use us for certain services in a specified geographic region. Most MSA customers have no obligation to assign specific volumes of work to us and are not required to use us exclusively, although in some cases they are subject to our right of first refusal. Many of our contracts, including MSAs, are open to public bid at expiration and generally attract numerous bidders.</w:t>
      </w:r>
    </w:p>
    <w:p>
      <w:pPr>
        <w:spacing w:after="0" w:line="56" w:lineRule="exact"/>
        <w:rPr>
          <w:sz w:val="20"/>
          <w:szCs w:val="20"/>
          <w:color w:val="auto"/>
        </w:rPr>
      </w:pPr>
    </w:p>
    <w:p>
      <w:pPr>
        <w:jc w:val="both"/>
        <w:ind w:left="40" w:right="60" w:firstLine="268"/>
        <w:spacing w:after="0" w:line="260" w:lineRule="auto"/>
        <w:rPr>
          <w:sz w:val="20"/>
          <w:szCs w:val="20"/>
          <w:color w:val="auto"/>
        </w:rPr>
      </w:pPr>
      <w:r>
        <w:rPr>
          <w:rFonts w:ascii="Arial" w:cs="Arial" w:eastAsia="Arial" w:hAnsi="Arial"/>
          <w:sz w:val="18"/>
          <w:szCs w:val="18"/>
          <w:color w:val="auto"/>
        </w:rPr>
        <w:t>A portion of the work we perform requires financial assurances in the form of performance and payment bonds or letters of credit at the time of execution of the contract. Most of our contracts include retention provisions of up to 10%, which are generally withheld from each progress payment as retainage until the contract work has been completed and approved.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Materials</w:t>
      </w:r>
    </w:p>
    <w:p>
      <w:pPr>
        <w:spacing w:after="0" w:line="119" w:lineRule="exact"/>
        <w:rPr>
          <w:sz w:val="20"/>
          <w:szCs w:val="20"/>
          <w:color w:val="auto"/>
        </w:rPr>
      </w:pPr>
    </w:p>
    <w:p>
      <w:pPr>
        <w:ind w:left="40" w:right="260" w:firstLine="268"/>
        <w:spacing w:after="0" w:line="260" w:lineRule="auto"/>
        <w:rPr>
          <w:sz w:val="20"/>
          <w:szCs w:val="20"/>
          <w:color w:val="auto"/>
        </w:rPr>
      </w:pPr>
      <w:r>
        <w:rPr>
          <w:rFonts w:ascii="Arial" w:cs="Arial" w:eastAsia="Arial" w:hAnsi="Arial"/>
          <w:sz w:val="18"/>
          <w:szCs w:val="18"/>
          <w:color w:val="auto"/>
        </w:rPr>
        <w:t>In many cases, our T&amp;D customers are responsible for supplying their own materials on projects; however, under certain contracts, we may agree to provide all or a portion of the required materials. For our C&amp;I contracts, we usually procure the necessary materials and supplies. We are not dependent on any one supplier for materials or supplies.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Subcontracting</w:t>
      </w:r>
    </w:p>
    <w:p>
      <w:pPr>
        <w:spacing w:after="0" w:line="119"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We are the prime contractor for the majority of our T&amp;D projects. We may use subcontractors to perform portions of our contracts and to manage workflow, particularly for design, engineering, procurement and some foundation work. 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On larger projects we may require performance and payment bonding from subcontractors, where we deem appropriate, based on the risk involved. We occasionally perform work as a subcontractor, and we may elect to do so from time-to-time on larger projects in order to manage our execution risk. When we perform work as a subcontractor we are often only paid after the general or prime contractor is paid.</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majority of the work in our C&amp;I segment is done as a subcontractor to a general contractor.</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jc w:val="both"/>
        <w:ind w:left="40" w:right="160" w:firstLine="268"/>
        <w:spacing w:after="0" w:line="260" w:lineRule="auto"/>
        <w:rPr>
          <w:sz w:val="20"/>
          <w:szCs w:val="20"/>
          <w:color w:val="auto"/>
        </w:rPr>
      </w:pPr>
      <w:r>
        <w:rPr>
          <w:rFonts w:ascii="Arial" w:cs="Arial" w:eastAsia="Arial" w:hAnsi="Arial"/>
          <w:sz w:val="18"/>
          <w:szCs w:val="18"/>
          <w:color w:val="auto"/>
        </w:rPr>
        <w:t>Our business is highly competitive in both our T&amp;D and C&amp;I segments. Competition in both of our business segments is primarily based on the price of the construction services and upon the reputation for safety, quality and reliability of the contractor. The competition we encounter can vary depending upon the type and/or location of construction services.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principal competitive factors that customers consider in our industry are:</w:t>
      </w:r>
    </w:p>
    <w:p>
      <w:pPr>
        <w:spacing w:after="0" w:line="115" w:lineRule="exact"/>
        <w:rPr>
          <w:sz w:val="20"/>
          <w:szCs w:val="20"/>
          <w:color w:val="auto"/>
        </w:rPr>
      </w:pPr>
    </w:p>
    <w:p>
      <w:pPr>
        <w:ind w:left="600" w:hanging="32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flexible contract terms;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programs and safety performance;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expertise and experience;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team experience;</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 and relationships with the customer;</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 presence and breadth of service offerings;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willingness to accept risk;</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of service execution;</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specialized equipment, tooling and centralized fleet structure;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and/or licensed personnel;</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adequate financial resources and bonding capacity;</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capabilities;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weather-damage restoration abilities and reputation.</w:t>
      </w:r>
    </w:p>
    <w:p>
      <w:pPr>
        <w:spacing w:after="0" w:line="115" w:lineRule="exact"/>
        <w:rPr>
          <w:sz w:val="20"/>
          <w:szCs w:val="20"/>
          <w:color w:val="auto"/>
        </w:rPr>
      </w:pPr>
    </w:p>
    <w:p>
      <w:pPr>
        <w:jc w:val="both"/>
        <w:ind w:left="40" w:right="380" w:firstLine="268"/>
        <w:spacing w:after="0" w:line="260" w:lineRule="auto"/>
        <w:rPr>
          <w:sz w:val="20"/>
          <w:szCs w:val="20"/>
          <w:color w:val="auto"/>
        </w:rPr>
      </w:pPr>
      <w:r>
        <w:rPr>
          <w:rFonts w:ascii="Arial" w:cs="Arial" w:eastAsia="Arial" w:hAnsi="Arial"/>
          <w:sz w:val="18"/>
          <w:szCs w:val="18"/>
          <w:color w:val="auto"/>
        </w:rPr>
        <w:t>While we believe our customers consider a number of factors when selecting a service provider, most of their work is awarded through a bid process where price is always a principal factor. See “Risk Factors — Our industry is highly competitive. Increased competition can place downward pressure on contract prices and profit margins and may limit the number of projects that we are awarded.”</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T&amp;D Competition</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Our T&amp;D segment competes with a number of companies in the local markets where we operate, ranging from small local independent companies to large national firms. There are many national or large regional firms that compete with us for T&amp;D contracts including, among others, Asplundh Construction Corp., Davis H. Elliot Company, Inc., Henkels &amp; McCoy, Inc., MasTec, Inc., MDU Resources Group, Inc., Michels Corporation, Pike Corporation, Power Line Services, Inc., Quanta Services, Inc. and Willbros Group, Inc.</w:t>
      </w:r>
    </w:p>
    <w:p>
      <w:pPr>
        <w:spacing w:after="0" w:line="83" w:lineRule="exact"/>
        <w:rPr>
          <w:sz w:val="20"/>
          <w:szCs w:val="20"/>
          <w:color w:val="auto"/>
        </w:rPr>
      </w:pPr>
    </w:p>
    <w:p>
      <w:pPr>
        <w:ind w:left="40" w:right="60" w:firstLine="268"/>
        <w:spacing w:after="0" w:line="269" w:lineRule="auto"/>
        <w:rPr>
          <w:sz w:val="20"/>
          <w:szCs w:val="20"/>
          <w:color w:val="auto"/>
        </w:rPr>
      </w:pPr>
      <w:r>
        <w:rPr>
          <w:rFonts w:ascii="Arial" w:cs="Arial" w:eastAsia="Arial" w:hAnsi="Arial"/>
          <w:sz w:val="17"/>
          <w:szCs w:val="17"/>
          <w:color w:val="auto"/>
        </w:rPr>
        <w:t>There are a number of barriers to entry into the transmission services business, including the cost of equipment and tooling necessary to perform transmission work, the availability of qualified labor, the scope of typical transmission projects and the technical, managerial and supervisory skills necessary to complete the job. Larger transmission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transmission infrastructure project varies greatly depending on a number of factors, including the size of the project, its location and the bidder qualification requirements imposed upon contractors by the customer. Some of our competitors restrict their operations to one geographic area, and others operate nationally and internationally.</w:t>
      </w:r>
    </w:p>
    <w:p>
      <w:pPr>
        <w:spacing w:after="0" w:line="76"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Compared to the transmission markets, there are fewer significant barriers to entry into the distribution markets in which we operate. As a result, any organization that has adequate financial resources and access to technical expertise can compete for distribution projects. Instead of outsourcing to us, some of our T&amp;D customers also employ personnel internally to perform the same type of services that we provide.</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C&amp;I Competition</w:t>
      </w:r>
    </w:p>
    <w:p>
      <w:pPr>
        <w:spacing w:after="0" w:line="115" w:lineRule="exact"/>
        <w:rPr>
          <w:sz w:val="20"/>
          <w:szCs w:val="20"/>
          <w:color w:val="auto"/>
        </w:rPr>
      </w:pPr>
    </w:p>
    <w:p>
      <w:pPr>
        <w:ind w:left="40" w:right="20" w:firstLine="268"/>
        <w:spacing w:after="0" w:line="256" w:lineRule="auto"/>
        <w:rPr>
          <w:sz w:val="20"/>
          <w:szCs w:val="20"/>
          <w:color w:val="auto"/>
        </w:rPr>
      </w:pPr>
      <w:r>
        <w:rPr>
          <w:rFonts w:ascii="Arial" w:cs="Arial" w:eastAsia="Arial" w:hAnsi="Arial"/>
          <w:sz w:val="18"/>
          <w:szCs w:val="18"/>
          <w:color w:val="auto"/>
        </w:rPr>
        <w:t>Our C&amp;I segment competes with a number of regional or small local firms and subsidiaries of larger national firms. Competition for our C&amp;I construction services varies greatly. There are few significant barriers to entry in the C&amp;I business, and there are a number of small companies that compete for C&amp;I business. The size, location and technical requirements of the project will impact which competitors and the number of competitors that we will encounter when bidding on any particular project.</w:t>
      </w:r>
    </w:p>
    <w:p>
      <w:pPr>
        <w:spacing w:after="0" w:line="83" w:lineRule="exact"/>
        <w:rPr>
          <w:sz w:val="20"/>
          <w:szCs w:val="20"/>
          <w:color w:val="auto"/>
        </w:rPr>
      </w:pPr>
    </w:p>
    <w:p>
      <w:pPr>
        <w:ind w:left="40" w:right="120" w:firstLine="268"/>
        <w:spacing w:after="0" w:line="273" w:lineRule="auto"/>
        <w:rPr>
          <w:sz w:val="20"/>
          <w:szCs w:val="20"/>
          <w:color w:val="auto"/>
        </w:rPr>
      </w:pPr>
      <w:r>
        <w:rPr>
          <w:rFonts w:ascii="Arial" w:cs="Arial" w:eastAsia="Arial" w:hAnsi="Arial"/>
          <w:sz w:val="17"/>
          <w:szCs w:val="17"/>
          <w:color w:val="auto"/>
        </w:rPr>
        <w:t>A major competitive factor in our C&amp;I segment is the individual relationships that we and our competitors have developed with general contractors who typically manage the bid process. Additionally, the equipment requirements for C&amp;I work are generally not as significant as that of T&amp;D construction. Since C&amp;I construction typically involves the purchase of materials, the financial resources to meet the materials procurement and equipment requirements of a particular project may impact the competition that we encounter. We differentiate ourselves from our competitors by bidding for larger and/or more technically complex projects, which we believe many of our smaller competitors may not be capable of executing</w:t>
      </w:r>
    </w:p>
    <w:p>
      <w:pPr>
        <w:spacing w:after="0" w:line="200" w:lineRule="exact"/>
        <w:rPr>
          <w:sz w:val="20"/>
          <w:szCs w:val="20"/>
          <w:color w:val="auto"/>
        </w:rPr>
      </w:pPr>
    </w:p>
    <w:p>
      <w:pPr>
        <w:spacing w:after="0" w:line="3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80"/>
        <w:spacing w:after="0" w:line="272" w:lineRule="auto"/>
        <w:rPr>
          <w:sz w:val="20"/>
          <w:szCs w:val="20"/>
          <w:color w:val="auto"/>
        </w:rPr>
      </w:pPr>
      <w:r>
        <w:rPr>
          <w:rFonts w:ascii="Arial" w:cs="Arial" w:eastAsia="Arial" w:hAnsi="Arial"/>
          <w:sz w:val="18"/>
          <w:szCs w:val="18"/>
          <w:color w:val="auto"/>
        </w:rPr>
        <w:t>effectively or profitably. We believe that we have a favorable competitive position in the markets that we serve due in part to our strong operating history and strong local market share as well as our reputation and relationships with our customers.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119"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generally must reimburse the surety for any expenses or outlays it incurs. These bonds are typically issued at the face value of the contract awarded. As of December 31, 2017, we had approximately $200.8 million in original face amount of bonds outstanding for projects in our T&amp;D segment and $296.2 million for projects in our C&amp;I segment. Our estimated remaining cost to complete these bonded projects for both segments was approximately $144.5 million as of December 31, 2017. As of December 31, 2016, we had approximately $654.2 million in original face amount of bonds outstanding for projects in our T&amp;D segment and $233.5 million for projects in our C&amp;I segment. The ability to post bonds provides us with a competitive advantage over smaller or less financially secure competitors. We believe that the strength of our balance sheet, as well as our strong and long-standing relationship with our surety, enhances our ability to obtain adequate financing and bonds.</w:t>
      </w:r>
    </w:p>
    <w:p>
      <w:pPr>
        <w:spacing w:after="0" w:line="61" w:lineRule="exact"/>
        <w:rPr>
          <w:sz w:val="20"/>
          <w:szCs w:val="20"/>
          <w:color w:val="auto"/>
        </w:rPr>
      </w:pPr>
    </w:p>
    <w:p>
      <w:pPr>
        <w:jc w:val="both"/>
        <w:ind w:left="40" w:right="220" w:firstLine="268"/>
        <w:spacing w:after="0" w:line="308"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119" w:lineRule="exact"/>
        <w:rPr>
          <w:sz w:val="20"/>
          <w:szCs w:val="20"/>
          <w:color w:val="auto"/>
        </w:rPr>
      </w:pPr>
    </w:p>
    <w:p>
      <w:pPr>
        <w:ind w:left="40" w:right="20" w:firstLine="268"/>
        <w:spacing w:after="0" w:line="267" w:lineRule="auto"/>
        <w:rPr>
          <w:sz w:val="20"/>
          <w:szCs w:val="20"/>
          <w:color w:val="auto"/>
        </w:rPr>
      </w:pPr>
      <w:r>
        <w:rPr>
          <w:rFonts w:ascii="Arial" w:cs="Arial" w:eastAsia="Arial" w:hAnsi="Arial"/>
          <w:sz w:val="17"/>
          <w:szCs w:val="17"/>
          <w:color w:val="auto"/>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one-year to three-year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estimated backlog also includes our proportionate share of unconsolidated joint venture contracts. See “Item 1A. Risk Factors — Backlog may not be realized or may not result in profits and may not accurately represent future revenue.”</w:t>
      </w:r>
    </w:p>
    <w:p>
      <w:pPr>
        <w:spacing w:after="0" w:line="76"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Certain projects that we undertake are not completed in one accounting period. Revenue on construction contracts is recorded based upon the percentage-of-completion accounting method, under which revenue is determined by the ratio of costs incurred to date on the contracts to management’s estimates of total contract costs. Under the percentage-of-completion method of accounting, revenue recognition is largely a function of contract costs incurred for any given period. Contract costs may include direct material, labor, subcontractor and material procurement services, equipment, and those indirect costs related to contract performance such as indirect labor, supplies, tools and repairs. While our contracts typically include labor, equipment and indirect costs, the amount of subcontractor and material costs on any individual contract can vary considerably.</w:t>
      </w:r>
    </w:p>
    <w:p>
      <w:pPr>
        <w:spacing w:after="0" w:line="200" w:lineRule="exact"/>
        <w:rPr>
          <w:sz w:val="20"/>
          <w:szCs w:val="20"/>
          <w:color w:val="auto"/>
        </w:rPr>
      </w:pPr>
    </w:p>
    <w:p>
      <w:pPr>
        <w:spacing w:after="0" w:line="31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 w:right="20" w:firstLine="268"/>
        <w:spacing w:after="0" w:line="256" w:lineRule="auto"/>
        <w:rPr>
          <w:sz w:val="20"/>
          <w:szCs w:val="20"/>
          <w:color w:val="auto"/>
        </w:rPr>
      </w:pPr>
      <w:r>
        <w:rPr>
          <w:rFonts w:ascii="Arial" w:cs="Arial" w:eastAsia="Arial" w:hAnsi="Arial"/>
          <w:sz w:val="18"/>
          <w:szCs w:val="18"/>
          <w:color w:val="auto"/>
        </w:rPr>
        <w:t>There can be no assurance as to the accuracy of our customers’ requirements or of our estimates of existing and future needs under MSAs, or of the values of our cost or time-dependent contracts and, therefore, our current backlog may not be realized as part of our future revenues. Subject to the foregoing discussions, the following table summarizes our backlog that we believe to be firm as of the dates shown and the backlog that we reasonably estimate will not be recognized within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53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3005" cy="8255"/>
                    </a:xfrm>
                    <a:prstGeom prst="rect">
                      <a:avLst/>
                    </a:prstGeom>
                    <a:noFill/>
                  </pic:spPr>
                </pic:pic>
              </a:graphicData>
            </a:graphic>
          </wp:anchor>
        </w:drawing>
        <w:drawing>
          <wp:anchor simplePos="0" relativeHeight="251657728" behindDoc="1" locked="0" layoutInCell="0" allowOverlap="1">
            <wp:simplePos x="0" y="0"/>
            <wp:positionH relativeFrom="column">
              <wp:posOffset>4041775</wp:posOffset>
            </wp:positionH>
            <wp:positionV relativeFrom="paragraph">
              <wp:posOffset>19050</wp:posOffset>
            </wp:positionV>
            <wp:extent cx="26657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Backlog at December 31, 2017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8"/>
        </w:trPr>
        <w:tc>
          <w:tcPr>
            <w:tcW w:w="6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estimated to not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Backlog at</w:t>
            </w: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9"/>
              </w:rPr>
              <w:t>be recognized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3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within 12 months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T&amp;D</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6"/>
              </w:rPr>
              <w:t>333,147</w:t>
            </w: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30,823</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386,701</w:t>
            </w:r>
          </w:p>
        </w:tc>
        <w:tc>
          <w:tcPr>
            <w:tcW w:w="0" w:type="dxa"/>
            <w:vAlign w:val="bottom"/>
          </w:tcPr>
          <w:p>
            <w:pPr>
              <w:spacing w:after="0"/>
              <w:rPr>
                <w:sz w:val="1"/>
                <w:szCs w:val="1"/>
                <w:color w:val="auto"/>
              </w:rPr>
            </w:pPr>
          </w:p>
        </w:tc>
      </w:tr>
      <w:tr>
        <w:trPr>
          <w:trHeight w:val="215"/>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C&amp;I</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345,992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302,131</w:t>
            </w:r>
          </w:p>
        </w:tc>
        <w:tc>
          <w:tcPr>
            <w:tcW w:w="0" w:type="dxa"/>
            <w:vAlign w:val="bottom"/>
          </w:tcPr>
          <w:p>
            <w:pPr>
              <w:spacing w:after="0"/>
              <w:rPr>
                <w:sz w:val="1"/>
                <w:szCs w:val="1"/>
                <w:color w:val="auto"/>
              </w:rPr>
            </w:pPr>
          </w:p>
        </w:tc>
      </w:tr>
      <w:tr>
        <w:trPr>
          <w:trHeight w:val="20"/>
        </w:trPr>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320"/>
              <w:spacing w:after="0"/>
              <w:rPr>
                <w:sz w:val="20"/>
                <w:szCs w:val="20"/>
                <w:color w:val="auto"/>
              </w:rPr>
            </w:pPr>
            <w:r>
              <w:rPr>
                <w:rFonts w:ascii="Arial" w:cs="Arial" w:eastAsia="Arial" w:hAnsi="Arial"/>
                <w:sz w:val="18"/>
                <w:szCs w:val="18"/>
                <w:color w:val="auto"/>
                <w:w w:val="86"/>
              </w:rPr>
              <w:t>679,139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70,139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688,832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firstLine="268"/>
        <w:spacing w:after="0" w:line="256" w:lineRule="auto"/>
        <w:rPr>
          <w:sz w:val="20"/>
          <w:szCs w:val="20"/>
          <w:color w:val="auto"/>
        </w:rPr>
      </w:pPr>
      <w:r>
        <w:rPr>
          <w:rFonts w:ascii="Arial" w:cs="Arial" w:eastAsia="Arial" w:hAnsi="Arial"/>
          <w:sz w:val="18"/>
          <w:szCs w:val="18"/>
          <w:color w:val="auto"/>
        </w:rPr>
        <w:t>Changes in backlog from period to period are primarily the result of fluctuations in the timing of awards and revenue recognition of contracts. Our backlog as of December 31, 2017 included our proportionate share of unconsolidated joint venture backlog totaling $27.6 million. The December 31, 2017 backlog does not include any amount related to the previously announced Denver Central 70 Project. We expect this project to be added to backlog in the first quarter of 2018.</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Trade Names and Intellectual Property</w:t>
      </w:r>
    </w:p>
    <w:p>
      <w:pPr>
        <w:spacing w:after="0" w:line="119" w:lineRule="exact"/>
        <w:rPr>
          <w:sz w:val="20"/>
          <w:szCs w:val="20"/>
          <w:color w:val="auto"/>
        </w:rPr>
      </w:pPr>
    </w:p>
    <w:p>
      <w:pPr>
        <w:ind w:left="60" w:right="20" w:firstLine="268"/>
        <w:spacing w:after="0" w:line="291" w:lineRule="auto"/>
        <w:rPr>
          <w:sz w:val="20"/>
          <w:szCs w:val="20"/>
          <w:color w:val="auto"/>
        </w:rPr>
      </w:pPr>
      <w:r>
        <w:rPr>
          <w:rFonts w:ascii="Arial" w:cs="Arial" w:eastAsia="Arial" w:hAnsi="Arial"/>
          <w:sz w:val="16"/>
          <w:szCs w:val="16"/>
          <w:color w:val="auto"/>
        </w:rPr>
        <w:t>We operate in the United States under a number of trade names, including The L. E. Myers Co.; Harlan Electric Company; Great Southwestern Construction, Inc.; Sturgeon Electric Company, Inc.; MYR Transmission Services, Inc.; E.S. Boulos Company; High Country Line Construction, Inc.; Sturgeon Electric California, LLC; and GSW Integrated Services, LLC. We operate in Canada under the trade names MYR Transmission Services Canada, Ltd.; Northern Transmission Services, Ltd and Western Pacific Enterprises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Equipment</w:t>
      </w:r>
    </w:p>
    <w:p>
      <w:pPr>
        <w:spacing w:after="0" w:line="119" w:lineRule="exact"/>
        <w:rPr>
          <w:sz w:val="20"/>
          <w:szCs w:val="20"/>
          <w:color w:val="auto"/>
        </w:rPr>
      </w:pPr>
    </w:p>
    <w:p>
      <w:pPr>
        <w:ind w:left="60" w:firstLine="268"/>
        <w:spacing w:after="0" w:line="267" w:lineRule="auto"/>
        <w:rPr>
          <w:sz w:val="20"/>
          <w:szCs w:val="20"/>
          <w:color w:val="auto"/>
        </w:rPr>
      </w:pPr>
      <w:r>
        <w:rPr>
          <w:rFonts w:ascii="Arial" w:cs="Arial" w:eastAsia="Arial" w:hAnsi="Arial"/>
          <w:sz w:val="17"/>
          <w:szCs w:val="17"/>
          <w:color w:val="auto"/>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and cranes and specialty construction equipment, such as wire pullers and wire tensioning machines. We also rely on specialized tooling, including stringing blocks, wire grips and presses. The standardization of our trucks and trailers allows us to streamline training, maintenance and parts costs. We operate a centralized fleet facility, as well as 21 regional maintenance shops throughout the United States, which are staffed by over 140 mechanics and equipment managers who service our fleet. Our ability to internally service our fleet in various markets often allows us to reduce repair costs and the time equipment is out of service by eliminating both the need to 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spacing w:after="0" w:line="79" w:lineRule="exact"/>
        <w:rPr>
          <w:sz w:val="20"/>
          <w:szCs w:val="20"/>
          <w:color w:val="auto"/>
        </w:rPr>
      </w:pPr>
    </w:p>
    <w:p>
      <w:pPr>
        <w:ind w:left="60" w:right="60" w:firstLine="268"/>
        <w:spacing w:after="0" w:line="294" w:lineRule="auto"/>
        <w:rPr>
          <w:sz w:val="20"/>
          <w:szCs w:val="20"/>
          <w:color w:val="auto"/>
        </w:rPr>
      </w:pPr>
      <w:r>
        <w:rPr>
          <w:rFonts w:ascii="Arial" w:cs="Arial" w:eastAsia="Arial" w:hAnsi="Arial"/>
          <w:sz w:val="16"/>
          <w:szCs w:val="16"/>
          <w:color w:val="auto"/>
        </w:rPr>
        <w:t>Our fleet of equipment is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which provide our business units with appropriate pricing levels to estimate their bids for new projects more accurately. We also involve our business units in prioritizing the use of our fleet assets. The fleet management group also</w:t>
      </w:r>
    </w:p>
    <w:p>
      <w:pPr>
        <w:spacing w:after="0" w:line="200" w:lineRule="exact"/>
        <w:rPr>
          <w:sz w:val="20"/>
          <w:szCs w:val="20"/>
          <w:color w:val="auto"/>
        </w:rPr>
      </w:pPr>
    </w:p>
    <w:p>
      <w:pPr>
        <w:spacing w:after="0" w:line="29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20"/>
        <w:spacing w:after="0" w:line="272" w:lineRule="auto"/>
        <w:rPr>
          <w:sz w:val="20"/>
          <w:szCs w:val="20"/>
          <w:color w:val="auto"/>
        </w:rPr>
      </w:pPr>
      <w:r>
        <w:rPr>
          <w:rFonts w:ascii="Arial" w:cs="Arial" w:eastAsia="Arial" w:hAnsi="Arial"/>
          <w:sz w:val="18"/>
          <w:szCs w:val="18"/>
          <w:color w:val="auto"/>
        </w:rPr>
        <w:t>manages the procurement and disposition of equipment and short-term rentals. All of these factors are critical in allowing us to operate efficiently and meet our customers’ needs.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operations are subject to various laws and regulations including:</w:t>
      </w:r>
    </w:p>
    <w:p>
      <w:pPr>
        <w:spacing w:after="0" w:line="115" w:lineRule="exact"/>
        <w:rPr>
          <w:sz w:val="20"/>
          <w:szCs w:val="20"/>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 permitting and inspection requirements applicable to electricians and engineers;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regulations relating to worker safety and environmental protection;</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 permitting and inspection requirements applicable to construction projects;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and electrical codes;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 bidding and procurement requirements on government projects;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laws and government acts regulating work on protected sites.</w:t>
      </w:r>
    </w:p>
    <w:p>
      <w:pPr>
        <w:spacing w:after="0" w:line="115" w:lineRule="exact"/>
        <w:rPr>
          <w:sz w:val="20"/>
          <w:szCs w:val="20"/>
          <w:color w:val="auto"/>
        </w:rPr>
      </w:pPr>
    </w:p>
    <w:p>
      <w:pPr>
        <w:ind w:left="40" w:right="460" w:firstLine="268"/>
        <w:spacing w:after="0" w:line="260" w:lineRule="auto"/>
        <w:rPr>
          <w:sz w:val="20"/>
          <w:szCs w:val="20"/>
          <w:color w:val="auto"/>
        </w:rPr>
      </w:pPr>
      <w:r>
        <w:rPr>
          <w:rFonts w:ascii="Arial" w:cs="Arial" w:eastAsia="Arial" w:hAnsi="Arial"/>
          <w:sz w:val="18"/>
          <w:szCs w:val="18"/>
          <w:color w:val="auto"/>
        </w:rPr>
        <w:t>We believe that we are in compliance with applicable regulatory requirements and have all material licenses required to conduct our operations. Our failure to comply with applicable regulations could result in project delays, cost overruns, remediation costs, substantial fines and/or revocation of our operating licenses.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business and results of operations.</w:t>
      </w:r>
    </w:p>
    <w:p>
      <w:pPr>
        <w:spacing w:after="0" w:line="74" w:lineRule="exact"/>
        <w:rPr>
          <w:sz w:val="20"/>
          <w:szCs w:val="20"/>
          <w:color w:val="auto"/>
        </w:rPr>
      </w:pPr>
    </w:p>
    <w:p>
      <w:pPr>
        <w:ind w:left="40" w:firstLine="268"/>
        <w:spacing w:after="0" w:line="272" w:lineRule="auto"/>
        <w:rPr>
          <w:sz w:val="20"/>
          <w:szCs w:val="20"/>
          <w:color w:val="auto"/>
        </w:rPr>
      </w:pPr>
      <w:r>
        <w:rPr>
          <w:rFonts w:ascii="Arial" w:cs="Arial" w:eastAsia="Arial" w:hAnsi="Arial"/>
          <w:sz w:val="18"/>
          <w:szCs w:val="18"/>
          <w:color w:val="auto"/>
        </w:rPr>
        <w:t>We believe that we are in substantial compliance with environmental laws and regulations and that any obligations related to environmental matters should not have a material effect on our financial condition, results of operations and cash flows.</w:t>
      </w:r>
    </w:p>
    <w:p>
      <w:pPr>
        <w:spacing w:after="0" w:line="67" w:lineRule="exact"/>
        <w:rPr>
          <w:sz w:val="20"/>
          <w:szCs w:val="20"/>
          <w:color w:val="auto"/>
        </w:rPr>
      </w:pPr>
    </w:p>
    <w:p>
      <w:pPr>
        <w:ind w:left="40" w:right="20" w:firstLine="268"/>
        <w:spacing w:after="0" w:line="273" w:lineRule="auto"/>
        <w:rPr>
          <w:sz w:val="20"/>
          <w:szCs w:val="20"/>
          <w:color w:val="auto"/>
        </w:rPr>
      </w:pPr>
      <w:r>
        <w:rPr>
          <w:rFonts w:ascii="Arial" w:cs="Arial" w:eastAsia="Arial" w:hAnsi="Arial"/>
          <w:sz w:val="17"/>
          <w:szCs w:val="17"/>
          <w:color w:val="auto"/>
        </w:rPr>
        <w:t>Additionally, there are significant environmental regulations under consideration to encourage the use of clean energy technologies and regulate emissions of greenhouse gases to address climate change. We regularly monitor the various proposals in this regard. Although the impact of climate change regulations on our business will depend on the specifics of governmental policies, legislation, and regulation, we believe that we will be well-positioned to adapt our business to meet new regulations. See “Item 1A. Risk Factors — We are subject to risks associated with climate change” and “Item 1A. Risk Factors — Our failure to comply with environmental and other laws and regulations could result in significant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Cyclical Nature of Business and Seasonality</w:t>
      </w:r>
    </w:p>
    <w:p>
      <w:pPr>
        <w:spacing w:after="0" w:line="119" w:lineRule="exact"/>
        <w:rPr>
          <w:sz w:val="20"/>
          <w:szCs w:val="20"/>
          <w:color w:val="auto"/>
        </w:rPr>
      </w:pPr>
    </w:p>
    <w:p>
      <w:pPr>
        <w:ind w:left="40" w:right="100" w:firstLine="268"/>
        <w:spacing w:after="0" w:line="260" w:lineRule="auto"/>
        <w:rPr>
          <w:sz w:val="20"/>
          <w:szCs w:val="20"/>
          <w:color w:val="auto"/>
        </w:rPr>
      </w:pPr>
      <w:r>
        <w:rPr>
          <w:rFonts w:ascii="Arial" w:cs="Arial" w:eastAsia="Arial" w:hAnsi="Arial"/>
          <w:sz w:val="18"/>
          <w:szCs w:val="18"/>
          <w:color w:val="auto"/>
        </w:rPr>
        <w:t>The demand for construction and maintenance services from our customers is cyclical in nature and vulnerable to downturns in the industries we serve as well as the economy in general. As a result, our volume of business could be adversely affected by declines or delays in new projects in various geographic regions.</w:t>
      </w:r>
    </w:p>
    <w:p>
      <w:pPr>
        <w:spacing w:after="0" w:line="78" w:lineRule="exact"/>
        <w:rPr>
          <w:sz w:val="20"/>
          <w:szCs w:val="20"/>
          <w:color w:val="auto"/>
        </w:rPr>
      </w:pPr>
    </w:p>
    <w:p>
      <w:pPr>
        <w:ind w:left="40" w:right="340" w:firstLine="268"/>
        <w:spacing w:after="0" w:line="256" w:lineRule="auto"/>
        <w:rPr>
          <w:sz w:val="20"/>
          <w:szCs w:val="20"/>
          <w:color w:val="auto"/>
        </w:rPr>
      </w:pPr>
      <w:r>
        <w:rPr>
          <w:rFonts w:ascii="Arial" w:cs="Arial" w:eastAsia="Arial" w:hAnsi="Arial"/>
          <w:sz w:val="18"/>
          <w:szCs w:val="18"/>
          <w:color w:val="auto"/>
        </w:rPr>
        <w:t>Although our revenues are primarily driven by spending patterns in our customers’ industries, our revenues and results of operations can be subject to seasonal and other variations. These variations are influenced by weather, daylight hours, availability of system outages from utilities and holidays. For example, during the winter months, demand for our T&amp;D work may be high, but our work can be delayed due to inclement weather. During the summer months, the demand for our T&amp;D work may be affected by fewer</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 w:right="120"/>
        <w:spacing w:after="0" w:line="260" w:lineRule="auto"/>
        <w:rPr>
          <w:sz w:val="20"/>
          <w:szCs w:val="20"/>
          <w:color w:val="auto"/>
        </w:rPr>
      </w:pPr>
      <w:r>
        <w:rPr>
          <w:rFonts w:ascii="Arial" w:cs="Arial" w:eastAsia="Arial" w:hAnsi="Arial"/>
          <w:sz w:val="18"/>
          <w:szCs w:val="18"/>
          <w:color w:val="auto"/>
        </w:rPr>
        <w:t>available system outages during which we can perform electrical line service work due to peak electrical demands caused by warmer weather. During the spring and fall months, the demand for our T&amp;D work may increase due to improved weather and system availability; however, extended periods of rain and other severe weather can affect the deployment of our crews and the efficiency of our operations.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ind w:left="60" w:right="40" w:firstLine="268"/>
        <w:spacing w:after="0" w:line="286" w:lineRule="auto"/>
        <w:rPr>
          <w:sz w:val="20"/>
          <w:szCs w:val="20"/>
          <w:color w:val="auto"/>
        </w:rPr>
      </w:pPr>
      <w:r>
        <w:rPr>
          <w:rFonts w:ascii="Arial" w:cs="Arial" w:eastAsia="Arial" w:hAnsi="Arial"/>
          <w:sz w:val="16"/>
          <w:szCs w:val="16"/>
          <w:color w:val="auto"/>
        </w:rPr>
        <w:t>We seek to attract and retain highly qualified craft employees by providing a superior work environment through our emphasis on safety, our competitive compensation, and our high quality fleet of equipment. The number of individuals we employ varies significantly throughout the year, typically with lower staffing levels at year end and through the winter months when fewer projects are active. The number of craft employees fluctuates depending on the number and size of projects at any particular time. As of December 31, 2017, we had approximately 5,275 employees, consisting of approximately 950 salaried employees, including executive officers, district managers, project managers, superintendents, estimators, office managers, and staff and clerical personnel, and approximately 4,325 craft employees. Approximately 91%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 parties to such local agreements, but instead these agreements are entered into by and between the IBEW local unions and the National Electrical Contractors Association (“NECA”), of which we are a member. NECA negotiates the terms of these agreements on our behalf. On occasion we will also employ individuals who are members of other trade unions pursuant to multi-employer, multi-union project agreements.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86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8035"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Age on</w:t>
            </w:r>
          </w:p>
        </w:tc>
        <w:tc>
          <w:tcPr>
            <w:tcW w:w="160" w:type="dxa"/>
            <w:vAlign w:val="bottom"/>
          </w:tcPr>
          <w:p>
            <w:pPr>
              <w:spacing w:after="0"/>
              <w:rPr>
                <w:sz w:val="14"/>
                <w:szCs w:val="14"/>
                <w:color w:val="auto"/>
              </w:rPr>
            </w:pPr>
          </w:p>
        </w:tc>
        <w:tc>
          <w:tcPr>
            <w:tcW w:w="644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0"/>
        </w:trPr>
        <w:tc>
          <w:tcPr>
            <w:tcW w:w="30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March 7, 2018</w:t>
            </w:r>
          </w:p>
        </w:tc>
        <w:tc>
          <w:tcPr>
            <w:tcW w:w="160" w:type="dxa"/>
            <w:vAlign w:val="bottom"/>
          </w:tcPr>
          <w:p>
            <w:pPr>
              <w:spacing w:after="0"/>
              <w:rPr>
                <w:sz w:val="14"/>
                <w:szCs w:val="14"/>
                <w:color w:val="auto"/>
              </w:rPr>
            </w:pPr>
          </w:p>
        </w:tc>
        <w:tc>
          <w:tcPr>
            <w:tcW w:w="6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tcPr>
          <w:p>
            <w:pPr>
              <w:ind w:left="20"/>
              <w:spacing w:after="0" w:line="194" w:lineRule="exact"/>
              <w:rPr>
                <w:sz w:val="20"/>
                <w:szCs w:val="20"/>
                <w:color w:val="auto"/>
              </w:rPr>
            </w:pPr>
            <w:r>
              <w:rPr>
                <w:rFonts w:ascii="Arial" w:cs="Arial" w:eastAsia="Arial" w:hAnsi="Arial"/>
                <w:sz w:val="18"/>
                <w:szCs w:val="18"/>
                <w:color w:val="auto"/>
              </w:rPr>
              <w:t>Richard S. Swartz, Jr.</w:t>
            </w:r>
          </w:p>
        </w:tc>
        <w:tc>
          <w:tcPr>
            <w:tcW w:w="16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8"/>
                <w:szCs w:val="18"/>
                <w:color w:val="auto"/>
                <w:w w:val="89"/>
              </w:rPr>
              <w:t>54</w:t>
            </w:r>
          </w:p>
        </w:tc>
        <w:tc>
          <w:tcPr>
            <w:tcW w:w="160" w:type="dxa"/>
            <w:vAlign w:val="bottom"/>
          </w:tcPr>
          <w:p>
            <w:pPr>
              <w:spacing w:after="0"/>
              <w:rPr>
                <w:sz w:val="16"/>
                <w:szCs w:val="16"/>
                <w:color w:val="auto"/>
              </w:rPr>
            </w:pPr>
          </w:p>
        </w:tc>
        <w:tc>
          <w:tcPr>
            <w:tcW w:w="6440" w:type="dxa"/>
            <w:vAlign w:val="bottom"/>
          </w:tcPr>
          <w:p>
            <w:pPr>
              <w:spacing w:after="0" w:line="194"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Betty R. Johnson</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William A. Koertner</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68</w:t>
            </w:r>
          </w:p>
        </w:tc>
        <w:tc>
          <w:tcPr>
            <w:tcW w:w="1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Executive Chairman of the Board of Directors</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Tod M. Cooper</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53</w:t>
            </w:r>
          </w:p>
        </w:tc>
        <w:tc>
          <w:tcPr>
            <w:tcW w:w="1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Senior Vice President, Chief Operating Officer T&amp;D</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Gerald B. Engen, Jr.</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67</w:t>
            </w:r>
          </w:p>
        </w:tc>
        <w:tc>
          <w:tcPr>
            <w:tcW w:w="1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Senior Vice President, Chief Legal Officer and Secretary</w:t>
            </w:r>
          </w:p>
        </w:tc>
        <w:tc>
          <w:tcPr>
            <w:tcW w:w="0" w:type="dxa"/>
            <w:vAlign w:val="bottom"/>
          </w:tcPr>
          <w:p>
            <w:pPr>
              <w:spacing w:after="0"/>
              <w:rPr>
                <w:sz w:val="1"/>
                <w:szCs w:val="1"/>
                <w:color w:val="auto"/>
              </w:rPr>
            </w:pPr>
          </w:p>
        </w:tc>
      </w:tr>
      <w:tr>
        <w:trPr>
          <w:trHeight w:val="227"/>
        </w:trPr>
        <w:tc>
          <w:tcPr>
            <w:tcW w:w="3020" w:type="dxa"/>
            <w:vAlign w:val="bottom"/>
          </w:tcPr>
          <w:p>
            <w:pPr>
              <w:ind w:left="20"/>
              <w:spacing w:after="0"/>
              <w:rPr>
                <w:sz w:val="20"/>
                <w:szCs w:val="20"/>
                <w:color w:val="auto"/>
              </w:rPr>
            </w:pPr>
            <w:r>
              <w:rPr>
                <w:rFonts w:ascii="Arial" w:cs="Arial" w:eastAsia="Arial" w:hAnsi="Arial"/>
                <w:sz w:val="18"/>
                <w:szCs w:val="18"/>
                <w:color w:val="auto"/>
              </w:rPr>
              <w:t>Jeffrey J. Waneka</w:t>
            </w:r>
          </w:p>
        </w:tc>
        <w:tc>
          <w:tcPr>
            <w:tcW w:w="14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Senior Vice President, Chief Operating Officer C&amp;I</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0" w:right="260" w:firstLine="268"/>
        <w:spacing w:after="0" w:line="294" w:lineRule="auto"/>
        <w:rPr>
          <w:sz w:val="20"/>
          <w:szCs w:val="20"/>
          <w:color w:val="auto"/>
        </w:rPr>
      </w:pPr>
      <w:r>
        <w:rPr>
          <w:rFonts w:ascii="Arial" w:cs="Arial" w:eastAsia="Arial" w:hAnsi="Arial"/>
          <w:sz w:val="16"/>
          <w:szCs w:val="16"/>
          <w:i w:val="1"/>
          <w:iCs w:val="1"/>
          <w:color w:val="auto"/>
        </w:rPr>
        <w:t xml:space="preserve">Richard S. Swartz, Jr. </w:t>
      </w:r>
      <w:r>
        <w:rPr>
          <w:rFonts w:ascii="Arial" w:cs="Arial" w:eastAsia="Arial" w:hAnsi="Arial"/>
          <w:sz w:val="16"/>
          <w:szCs w:val="16"/>
          <w:color w:val="auto"/>
        </w:rPr>
        <w:t>was appointed president and chief executive officer on January 1, 2017. Prior to his current role, he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operating officer since September 2016 and as senior vice president and chief operating officer from May 2011 to September 2016. Mr. Swartz served as senior vice president from August 2009 to May 2011, and as a group vice president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spacing w:after="0" w:line="53" w:lineRule="exact"/>
        <w:rPr>
          <w:sz w:val="20"/>
          <w:szCs w:val="20"/>
          <w:color w:val="auto"/>
        </w:rPr>
      </w:pPr>
    </w:p>
    <w:p>
      <w:pPr>
        <w:ind w:left="60" w:firstLine="268"/>
        <w:spacing w:after="0" w:line="271" w:lineRule="auto"/>
        <w:rPr>
          <w:sz w:val="20"/>
          <w:szCs w:val="20"/>
          <w:color w:val="auto"/>
        </w:rPr>
      </w:pPr>
      <w:r>
        <w:rPr>
          <w:rFonts w:ascii="Arial" w:cs="Arial" w:eastAsia="Arial" w:hAnsi="Arial"/>
          <w:sz w:val="17"/>
          <w:szCs w:val="17"/>
          <w:i w:val="1"/>
          <w:iCs w:val="1"/>
          <w:color w:val="auto"/>
        </w:rPr>
        <w:t xml:space="preserve">Betty R. Johnson </w:t>
      </w:r>
      <w:r>
        <w:rPr>
          <w:rFonts w:ascii="Arial" w:cs="Arial" w:eastAsia="Arial" w:hAnsi="Arial"/>
          <w:sz w:val="17"/>
          <w:szCs w:val="17"/>
          <w:color w:val="auto"/>
        </w:rPr>
        <w:t>joined us as senior vice president, chief financial officer and treasurer on October 19, 2015. Prior to joining us, Ms. Johnson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of Faith Technologies, Inc., a privately held electrical, engineering and technology systems contractor. From 2009 to 2014, Ms. Johnson served as the vice president of global finance and chief financial officer of Sloan Valve Company. Prior to this, Ms. Johnson was executive vice president and chief financial officer with Block and Company, Inc. from 2003 to 2009. From 1999 to 2003 she served as the vice president-operations/finance with Encompass Services Corporation. Ms. Johnson served as our controller from 1992 to 1998 and vice president and controller from 1998 to 1999. Ms. Johnson served as a member of our board of directors from 2007 until accepting her current position with us.</w:t>
      </w:r>
    </w:p>
    <w:p>
      <w:pPr>
        <w:spacing w:after="0" w:line="70" w:lineRule="exact"/>
        <w:rPr>
          <w:sz w:val="20"/>
          <w:szCs w:val="20"/>
          <w:color w:val="auto"/>
        </w:rPr>
      </w:pPr>
    </w:p>
    <w:p>
      <w:pPr>
        <w:ind w:left="60" w:right="20" w:firstLine="268"/>
        <w:spacing w:after="0" w:line="256" w:lineRule="auto"/>
        <w:rPr>
          <w:sz w:val="20"/>
          <w:szCs w:val="20"/>
          <w:color w:val="auto"/>
        </w:rPr>
      </w:pPr>
      <w:r>
        <w:rPr>
          <w:rFonts w:ascii="Arial" w:cs="Arial" w:eastAsia="Arial" w:hAnsi="Arial"/>
          <w:sz w:val="18"/>
          <w:szCs w:val="18"/>
          <w:i w:val="1"/>
          <w:iCs w:val="1"/>
          <w:color w:val="auto"/>
        </w:rPr>
        <w:t xml:space="preserve">William A. Koertner </w:t>
      </w:r>
      <w:r>
        <w:rPr>
          <w:rFonts w:ascii="Arial" w:cs="Arial" w:eastAsia="Arial" w:hAnsi="Arial"/>
          <w:sz w:val="18"/>
          <w:szCs w:val="18"/>
          <w:color w:val="auto"/>
        </w:rPr>
        <w:t>stepped down as president and chief executive officer effective January 1, 2017. He continues his role as executive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Mr. Koertner has served as executive chairman of the board since 2007 and served as president and chief executive officer from 2003 to the end of 2016. Mr. Koertner joined us as senior vice president, treasurer and chief financial officer in 1998. Prior to joining us, Mr. Koertner served as vice president at Central Illinois Public Service Company from 1989 until 1998.</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i w:val="1"/>
          <w:iCs w:val="1"/>
          <w:color w:val="auto"/>
        </w:rPr>
        <w:t xml:space="preserve">Tod M. Cooper </w:t>
      </w:r>
      <w:r>
        <w:rPr>
          <w:rFonts w:ascii="Arial" w:cs="Arial" w:eastAsia="Arial" w:hAnsi="Arial"/>
          <w:sz w:val="18"/>
          <w:szCs w:val="18"/>
          <w:color w:val="auto"/>
        </w:rPr>
        <w:t>was appointed senior vice president and chief operating officer T&amp;D on January 1, 2017. Prior to his current role, he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since August 2013. Mr. Cooper served as group vice president, east from 2009 to 2013 and vice president T&amp;D, east from 2006 to 2009. Mr. Cooper has held a number of additional positions since joining us in 1989, including business development manager, regional manager, district manager, and estimator.</w:t>
      </w:r>
    </w:p>
    <w:p>
      <w:pPr>
        <w:spacing w:after="0" w:line="83" w:lineRule="exact"/>
        <w:rPr>
          <w:sz w:val="20"/>
          <w:szCs w:val="20"/>
          <w:color w:val="auto"/>
        </w:rPr>
      </w:pPr>
    </w:p>
    <w:p>
      <w:pPr>
        <w:jc w:val="both"/>
        <w:ind w:left="40" w:right="160" w:firstLine="268"/>
        <w:spacing w:after="0" w:line="260" w:lineRule="auto"/>
        <w:rPr>
          <w:sz w:val="20"/>
          <w:szCs w:val="20"/>
          <w:color w:val="auto"/>
        </w:rPr>
      </w:pPr>
      <w:r>
        <w:rPr>
          <w:rFonts w:ascii="Arial" w:cs="Arial" w:eastAsia="Arial" w:hAnsi="Arial"/>
          <w:sz w:val="18"/>
          <w:szCs w:val="18"/>
          <w:i w:val="1"/>
          <w:iCs w:val="1"/>
          <w:color w:val="auto"/>
        </w:rPr>
        <w:t xml:space="preserve">Gerald B. Engen, Jr. </w:t>
      </w:r>
      <w:r>
        <w:rPr>
          <w:rFonts w:ascii="Arial" w:cs="Arial" w:eastAsia="Arial" w:hAnsi="Arial"/>
          <w:sz w:val="18"/>
          <w:szCs w:val="18"/>
          <w:color w:val="auto"/>
        </w:rPr>
        <w:t>has served as senior vice president, chief legal officer and secretary since August 2009. From November 2002 to August 2009, Mr.</w:t>
      </w:r>
      <w:r>
        <w:rPr>
          <w:rFonts w:ascii="Arial" w:cs="Arial" w:eastAsia="Arial" w:hAnsi="Arial"/>
          <w:sz w:val="18"/>
          <w:szCs w:val="18"/>
          <w:i w:val="1"/>
          <w:iCs w:val="1"/>
          <w:color w:val="auto"/>
        </w:rPr>
        <w:t xml:space="preserve"> </w:t>
      </w:r>
      <w:r>
        <w:rPr>
          <w:rFonts w:ascii="Arial" w:cs="Arial" w:eastAsia="Arial" w:hAnsi="Arial"/>
          <w:sz w:val="18"/>
          <w:szCs w:val="18"/>
          <w:color w:val="auto"/>
        </w:rPr>
        <w:t>Engen served as vice president, chief legal officer and secretary. Mr. Engen joined us as an assistant general counsel in September 2000 from Wells, Love &amp; Scoby, LLC, a law firm specializing in construction law.</w:t>
      </w:r>
    </w:p>
    <w:p>
      <w:pPr>
        <w:spacing w:after="0" w:line="78" w:lineRule="exact"/>
        <w:rPr>
          <w:sz w:val="20"/>
          <w:szCs w:val="20"/>
          <w:color w:val="auto"/>
        </w:rPr>
      </w:pPr>
    </w:p>
    <w:p>
      <w:pPr>
        <w:ind w:left="40" w:right="20" w:firstLine="268"/>
        <w:spacing w:after="0" w:line="256" w:lineRule="auto"/>
        <w:rPr>
          <w:sz w:val="20"/>
          <w:szCs w:val="20"/>
          <w:color w:val="auto"/>
        </w:rPr>
      </w:pPr>
      <w:r>
        <w:rPr>
          <w:rFonts w:ascii="Arial" w:cs="Arial" w:eastAsia="Arial" w:hAnsi="Arial"/>
          <w:sz w:val="18"/>
          <w:szCs w:val="18"/>
          <w:i w:val="1"/>
          <w:iCs w:val="1"/>
          <w:color w:val="auto"/>
        </w:rPr>
        <w:t xml:space="preserve">Jeffrey J. Waneka </w:t>
      </w:r>
      <w:r>
        <w:rPr>
          <w:rFonts w:ascii="Arial" w:cs="Arial" w:eastAsia="Arial" w:hAnsi="Arial"/>
          <w:sz w:val="18"/>
          <w:szCs w:val="18"/>
          <w:color w:val="auto"/>
        </w:rPr>
        <w:t>was appointed senior vice president and chief operating officer C&amp;I on January 1, 2017. Prior to his current role, he served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a subsidiary company, Sturgeon Electric Company, Inc., since February 2015. Mr. Waneka served as group vice president, C&amp;I from 2014 to 2015 and vice president, C&amp;I from 2009 to 2014. Mr. Waneka has held a number of additional positions since joining the Company in 1991, including regional manager, director business development and district manager.</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19"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i w:val="1"/>
          <w:iCs w:val="1"/>
          <w:color w:val="auto"/>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Additional risks we do not yet know of, or that we currently think are immaterial, may also affect our business operations. If any of the events or circumstances described in the following risks actually occurs, our business, financial condition or results of operations could be affected and our stock price could decline.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operating results may vary significantly from period to period.</w:t>
      </w:r>
    </w:p>
    <w:p>
      <w:pPr>
        <w:spacing w:after="0" w:line="115" w:lineRule="exact"/>
        <w:rPr>
          <w:sz w:val="20"/>
          <w:szCs w:val="20"/>
          <w:color w:val="auto"/>
        </w:rPr>
      </w:pPr>
    </w:p>
    <w:p>
      <w:pPr>
        <w:ind w:left="40" w:right="20" w:firstLine="268"/>
        <w:spacing w:after="0" w:line="272" w:lineRule="auto"/>
        <w:rPr>
          <w:sz w:val="20"/>
          <w:szCs w:val="20"/>
          <w:color w:val="auto"/>
        </w:rPr>
      </w:pPr>
      <w:r>
        <w:rPr>
          <w:rFonts w:ascii="Arial" w:cs="Arial" w:eastAsia="Arial" w:hAnsi="Arial"/>
          <w:sz w:val="18"/>
          <w:szCs w:val="18"/>
          <w:color w:val="auto"/>
        </w:rPr>
        <w:t>Our business can be highly cyclical and subject to seasonal and other variations that can result in significant differences in operating results from period to period. Additionally, our results may be materially and adversely affected by:</w:t>
      </w:r>
    </w:p>
    <w:p>
      <w:pPr>
        <w:spacing w:after="0" w:line="67" w:lineRule="exact"/>
        <w:rPr>
          <w:sz w:val="20"/>
          <w:szCs w:val="20"/>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volume of work under contract;</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and changes in the competitive marketplace for our services;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spending patterns of customers and governments;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performance and reputation;</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of performance of our services caused by adverse weather conditions;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overruns on fixed-price and unit-price contracts;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subcontractor and material costs in our projects;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equipment utilization;</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permitting, regulatory or customer-caused delays on projects;</w:t>
      </w:r>
    </w:p>
    <w:p>
      <w:pPr>
        <w:spacing w:after="0" w:line="114" w:lineRule="exact"/>
        <w:rPr>
          <w:rFonts w:ascii="Arial" w:cs="Arial" w:eastAsia="Arial" w:hAnsi="Arial"/>
          <w:sz w:val="18"/>
          <w:szCs w:val="18"/>
          <w:color w:val="auto"/>
        </w:rPr>
      </w:pPr>
    </w:p>
    <w:p>
      <w:pPr>
        <w:ind w:left="600" w:right="40" w:hanging="326"/>
        <w:spacing w:after="0" w:line="272"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with customers relating to payment terms under our contracts and change orders, and our ability to successfully negotiate and obtain payment or reimbursement under our contracts and change orders;</w:t>
      </w:r>
    </w:p>
    <w:p>
      <w:pPr>
        <w:spacing w:after="0" w:line="67"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the margins of projects performed during any particular reporting period;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change in the demand for our services;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design and construction costs that we are unable to pass through to our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or expiration of existing agreements;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and general economic conditions and the condition of the financial markets;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experienced in our operations not otherwise covered by insurance;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change in the mix of our customers, contracts and business;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risk associated with the financial condition of our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we incur to support growth internally or otherwise;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qualified labor for specific projects;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liabilities associated with participation in joint ventures related to third party failures;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fluctuations in foreign currency exchange rates;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bonding requirements applicable to existing and new agreements;</w:t>
      </w:r>
    </w:p>
    <w:p>
      <w:pPr>
        <w:spacing w:after="0" w:line="200" w:lineRule="exact"/>
        <w:rPr>
          <w:sz w:val="20"/>
          <w:szCs w:val="20"/>
          <w:color w:val="auto"/>
        </w:rPr>
      </w:pPr>
    </w:p>
    <w:p>
      <w:pPr>
        <w:spacing w:after="0" w:line="37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pronouncements that require us to account for items differently than historical pronouncements;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integration of acquisitions and the magnitude of the related acquisition and integration costs;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our multi-employer pension plan obligations;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equipment;</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responding to actions of activist stockholders;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 of goodwill or intangible assets;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warranty claims.</w:t>
      </w:r>
    </w:p>
    <w:p>
      <w:pPr>
        <w:spacing w:after="0" w:line="115" w:lineRule="exact"/>
        <w:rPr>
          <w:sz w:val="20"/>
          <w:szCs w:val="20"/>
          <w:color w:val="auto"/>
        </w:rPr>
      </w:pPr>
    </w:p>
    <w:p>
      <w:pPr>
        <w:ind w:left="40" w:right="480" w:firstLine="268"/>
        <w:spacing w:after="0" w:line="272" w:lineRule="auto"/>
        <w:rPr>
          <w:sz w:val="20"/>
          <w:szCs w:val="20"/>
          <w:color w:val="auto"/>
        </w:rPr>
      </w:pPr>
      <w:r>
        <w:rPr>
          <w:rFonts w:ascii="Arial" w:cs="Arial" w:eastAsia="Arial" w:hAnsi="Arial"/>
          <w:sz w:val="18"/>
          <w:szCs w:val="18"/>
          <w:color w:val="auto"/>
        </w:rPr>
        <w:t>Accordingly, our operating results in any particular reporting period may not be indicative of the results that can be expected for any other reporting period.</w:t>
      </w:r>
    </w:p>
    <w:p>
      <w:pPr>
        <w:spacing w:after="0" w:line="94" w:lineRule="exact"/>
        <w:rPr>
          <w:sz w:val="20"/>
          <w:szCs w:val="20"/>
          <w:color w:val="auto"/>
        </w:rPr>
      </w:pPr>
    </w:p>
    <w:p>
      <w:pPr>
        <w:ind w:left="40" w:right="140"/>
        <w:spacing w:after="0" w:line="272" w:lineRule="auto"/>
        <w:rPr>
          <w:sz w:val="20"/>
          <w:szCs w:val="20"/>
          <w:color w:val="auto"/>
        </w:rPr>
      </w:pPr>
      <w:r>
        <w:rPr>
          <w:rFonts w:ascii="Arial" w:cs="Arial" w:eastAsia="Arial" w:hAnsi="Arial"/>
          <w:sz w:val="18"/>
          <w:szCs w:val="18"/>
          <w:b w:val="1"/>
          <w:bCs w:val="1"/>
          <w:i w:val="1"/>
          <w:iCs w:val="1"/>
          <w:color w:val="auto"/>
        </w:rPr>
        <w:t>Our industry is highly competitive. Increased competition can place downward pressure on contract prices and profit margins and may limit the number of projects that we are awarded.</w:t>
      </w:r>
    </w:p>
    <w:p>
      <w:pPr>
        <w:spacing w:after="0" w:line="67"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Our industry is fragmented and we compete with other companies, ranging from small, independent firms servicing local markets to larger firms servicing regional, national and international markets. Relatively few barriers prevent entry into the C&amp;I market and the distribution market. As a result, any organization that has adequate financial resources and access to technical expertise may become one of our competitors in those areas. Competition in the industry depends on a number of factors, including price. Some of our competitors, including our competitors in the transmission market,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We also may face competition from in-house service organizations of our existing or prospective customers. Electric utility companies often employ personnel to internally perform some of the same types of services we do. If we are unable to compete successfully in our markets, our operating results could be adversely affected.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unsuccessful in generating internal growth, which could impact the projects available to the Company.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generate internal growth will be affected by, among other factors, our ability to:</w:t>
      </w:r>
    </w:p>
    <w:p>
      <w:pPr>
        <w:spacing w:after="0" w:line="115" w:lineRule="exact"/>
        <w:rPr>
          <w:sz w:val="20"/>
          <w:szCs w:val="20"/>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number of projects performed for existing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and retain qualified personnel;</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bid new projects;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geographically;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adapt the range of services we offer to customers to address their evolving construction needs.</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to support internal growth. If we are unsuccessful, we may not be able to achieve internal growth, expand our operations or grow our business.</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3" w:lineRule="exact"/>
        <w:rPr>
          <w:sz w:val="20"/>
          <w:szCs w:val="20"/>
          <w:color w:val="auto"/>
        </w:rPr>
      </w:pPr>
    </w:p>
    <w:p>
      <w:pPr>
        <w:ind w:left="40" w:right="160"/>
        <w:spacing w:after="0" w:line="272" w:lineRule="auto"/>
        <w:rPr>
          <w:sz w:val="20"/>
          <w:szCs w:val="20"/>
          <w:color w:val="auto"/>
        </w:rPr>
      </w:pPr>
      <w:r>
        <w:rPr>
          <w:rFonts w:ascii="Arial" w:cs="Arial" w:eastAsia="Arial" w:hAnsi="Arial"/>
          <w:sz w:val="18"/>
          <w:szCs w:val="18"/>
          <w:b w:val="1"/>
          <w:bCs w:val="1"/>
          <w:i w:val="1"/>
          <w:iCs w:val="1"/>
          <w:color w:val="auto"/>
        </w:rPr>
        <w:t>Negative economic and market conditions, as well as regulatory and environmental requirements, may adversely impact our customers’ future spending and, as a result, our operations and growth.</w:t>
      </w:r>
    </w:p>
    <w:p>
      <w:pPr>
        <w:spacing w:after="0" w:line="67" w:lineRule="exact"/>
        <w:rPr>
          <w:sz w:val="20"/>
          <w:szCs w:val="20"/>
          <w:color w:val="auto"/>
        </w:rPr>
      </w:pPr>
    </w:p>
    <w:p>
      <w:pPr>
        <w:ind w:left="40" w:right="60" w:firstLine="268"/>
        <w:spacing w:after="0" w:line="286" w:lineRule="auto"/>
        <w:rPr>
          <w:sz w:val="20"/>
          <w:szCs w:val="20"/>
          <w:color w:val="auto"/>
        </w:rPr>
      </w:pPr>
      <w:r>
        <w:rPr>
          <w:rFonts w:ascii="Arial" w:cs="Arial" w:eastAsia="Arial" w:hAnsi="Arial"/>
          <w:sz w:val="16"/>
          <w:szCs w:val="16"/>
          <w:color w:val="auto"/>
        </w:rPr>
        <w:t>The demand for infrastructure construction and maintenance services from our customers has been, and will likely continue to be, cyclical in nature and vulnerable to downturns in the industries we serve as well as the economy in general. Stagnant or declining economic conditions have adversely impacted the demand for our services in the past and resulted in the delay, reduction or cancellation of certain projects and may adversely affect us in the future. Unfavorable economic conditions could also cause our customers to outsource less work. Additionally, many of our customers finance their projects through the incurrence of debt or the issuance of equity. A reduction in cash flow or the lack of availability of debt or equity financing may result in a reduction in our customers’ spending for our services and may also impact the ability of our customers to pay amounts owed to us, which could have a material adverse effect on our operations and our ability to grow at historical levels. A prolonged economic downturn or recession could adversely affect our customers and their ability or willingness to fund capital expenditures in the future or pay for past services. Material fluctuations in energy markets could have an adverse impact on our customers’ spending patterns. Consolidation, competition, capital constraints or negative economic conditions in the electric power industry may also result in reduced spending by, or the loss of, one or more of our customers.</w:t>
      </w:r>
    </w:p>
    <w:p>
      <w:pPr>
        <w:spacing w:after="0" w:line="61" w:lineRule="exact"/>
        <w:rPr>
          <w:sz w:val="20"/>
          <w:szCs w:val="20"/>
          <w:color w:val="auto"/>
        </w:rPr>
      </w:pPr>
    </w:p>
    <w:p>
      <w:pPr>
        <w:ind w:left="40" w:right="80" w:firstLine="268"/>
        <w:spacing w:after="0" w:line="254" w:lineRule="auto"/>
        <w:rPr>
          <w:sz w:val="20"/>
          <w:szCs w:val="20"/>
          <w:color w:val="auto"/>
        </w:rPr>
      </w:pPr>
      <w:r>
        <w:rPr>
          <w:rFonts w:ascii="Arial" w:cs="Arial" w:eastAsia="Arial" w:hAnsi="Arial"/>
          <w:sz w:val="18"/>
          <w:szCs w:val="18"/>
          <w:color w:val="auto"/>
        </w:rPr>
        <w:t>Because the vast majority of our T&amp;D revenue is derived from the electric utility industry, regulatory and environmental requirements affecting that industry could adversely affect our results of operations.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w:t>
      </w:r>
    </w:p>
    <w:p>
      <w:pPr>
        <w:spacing w:after="0" w:line="125" w:lineRule="exact"/>
        <w:rPr>
          <w:sz w:val="20"/>
          <w:szCs w:val="20"/>
          <w:color w:val="auto"/>
        </w:rPr>
      </w:pPr>
    </w:p>
    <w:p>
      <w:pPr>
        <w:ind w:left="40" w:right="180"/>
        <w:spacing w:after="0" w:line="272" w:lineRule="auto"/>
        <w:rPr>
          <w:sz w:val="20"/>
          <w:szCs w:val="20"/>
          <w:color w:val="auto"/>
        </w:rPr>
      </w:pPr>
      <w:r>
        <w:rPr>
          <w:rFonts w:ascii="Arial" w:cs="Arial" w:eastAsia="Arial" w:hAnsi="Arial"/>
          <w:sz w:val="18"/>
          <w:szCs w:val="18"/>
          <w:b w:val="1"/>
          <w:bCs w:val="1"/>
          <w:i w:val="1"/>
          <w:iCs w:val="1"/>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67" w:lineRule="exact"/>
        <w:rPr>
          <w:sz w:val="20"/>
          <w:szCs w:val="20"/>
          <w:color w:val="auto"/>
        </w:rPr>
      </w:pPr>
    </w:p>
    <w:p>
      <w:pPr>
        <w:ind w:left="40" w:firstLine="268"/>
        <w:spacing w:after="0" w:line="266" w:lineRule="auto"/>
        <w:rPr>
          <w:sz w:val="20"/>
          <w:szCs w:val="20"/>
          <w:color w:val="auto"/>
        </w:rPr>
      </w:pPr>
      <w:r>
        <w:rPr>
          <w:rFonts w:ascii="Arial" w:cs="Arial" w:eastAsia="Arial" w:hAnsi="Arial"/>
          <w:sz w:val="17"/>
          <w:szCs w:val="17"/>
          <w:color w:val="auto"/>
        </w:rPr>
        <w:t>Many projects involve challenging engineering, procurement and construction phases that may occur over several years. We may encounter difficulties that impact our ability to complete the project in accordance with the original delivery schedule. These difficulties may be the result of delays in designs, engineering information or materials provided by the customer or a third party, delays or difficulties in equipment and material delivery, schedule changes, delays from our customer’s failure to timely obtain permits or rights-of-way or meet other regulatory requirements, weather-related delays, delays caused by difficult worksite environments, delays caused by inefficiencies and not achieving expected labor performance, and other factors, some of which are beyond our control. In addition, for some projects we contract with third-party subcontractors to assist us with the completion of contracts. Any delay or failure by suppliers or by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renewable energy projects, or other facilities. We may not be able to recover the costs we incur that are caused by delays. In certain circumstances, we guarantee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and we may not be able to replace such projects with similar projects or at all. Such delays or cancellations may impact our reputation or relationships with customers, adversely affecting our ability to secure new contracts. Larger projects, in particular, present additional performance risks due to the more complex work involved.</w:t>
      </w:r>
    </w:p>
    <w:p>
      <w:pPr>
        <w:spacing w:after="0" w:line="76" w:lineRule="exact"/>
        <w:rPr>
          <w:sz w:val="20"/>
          <w:szCs w:val="20"/>
          <w:color w:val="auto"/>
        </w:rPr>
      </w:pPr>
    </w:p>
    <w:p>
      <w:pPr>
        <w:ind w:left="40" w:right="40" w:firstLine="268"/>
        <w:spacing w:after="0" w:line="256" w:lineRule="auto"/>
        <w:rPr>
          <w:sz w:val="20"/>
          <w:szCs w:val="20"/>
          <w:color w:val="auto"/>
        </w:rPr>
      </w:pPr>
      <w:r>
        <w:rPr>
          <w:rFonts w:ascii="Arial" w:cs="Arial" w:eastAsia="Arial" w:hAnsi="Arial"/>
          <w:sz w:val="18"/>
          <w:szCs w:val="18"/>
          <w:color w:val="auto"/>
        </w:rPr>
        <w:t>Our customers may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100"/>
        <w:spacing w:after="0" w:line="252" w:lineRule="auto"/>
        <w:rPr>
          <w:sz w:val="20"/>
          <w:szCs w:val="20"/>
          <w:color w:val="auto"/>
        </w:rPr>
      </w:pPr>
      <w:r>
        <w:rPr>
          <w:rFonts w:ascii="Arial" w:cs="Arial" w:eastAsia="Arial" w:hAnsi="Arial"/>
          <w:sz w:val="18"/>
          <w:szCs w:val="18"/>
          <w:color w:val="auto"/>
        </w:rPr>
        <w:t>unable to obtain, through negotiation, arbitration, litigation or otherwise, adequate amounts to compensate us for the additional work or expenses incurred by us due to customer-requested change orders or failure by the customer to timely deliver items, such as engineering drawings or materials. Litigation or arbitration of claims for compensation may be lengthy and costly, and it is often difficult to predict when and for how much the claims will be resolved. A failure to obtain adequate compensation for these matters could require us to record a reduction to amounts of revenue and gross profit recognized in prior periods under the percentage-of-completion accounting method. Any such adjustments could be substantial. We may also be required to invest significant working capital to fund cost overruns while the resolution of change orders or claims is pending, which could adversely affect our liquidity and financial results in any given period.</w:t>
      </w:r>
    </w:p>
    <w:p>
      <w:pPr>
        <w:spacing w:after="0" w:line="115" w:lineRule="exact"/>
        <w:rPr>
          <w:sz w:val="20"/>
          <w:szCs w:val="20"/>
          <w:color w:val="auto"/>
        </w:rPr>
      </w:pPr>
    </w:p>
    <w:p>
      <w:pPr>
        <w:ind w:left="40" w:right="200"/>
        <w:spacing w:after="0" w:line="272" w:lineRule="auto"/>
        <w:rPr>
          <w:sz w:val="20"/>
          <w:szCs w:val="20"/>
          <w:color w:val="auto"/>
        </w:rPr>
      </w:pPr>
      <w:r>
        <w:rPr>
          <w:rFonts w:ascii="Arial" w:cs="Arial" w:eastAsia="Arial" w:hAnsi="Arial"/>
          <w:sz w:val="18"/>
          <w:szCs w:val="18"/>
          <w:b w:val="1"/>
          <w:bCs w:val="1"/>
          <w:i w:val="1"/>
          <w:iCs w:val="1"/>
          <w:color w:val="auto"/>
        </w:rPr>
        <w:t>Our revenues may be exposed to potential risk if a project is terminated or canceled, if our customers encounter financial difficulties or if we encounter disputes with our customers.</w:t>
      </w:r>
    </w:p>
    <w:p>
      <w:pPr>
        <w:spacing w:after="0" w:line="67"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Our contracts often require us to satisfy or achieve certain milestones in order to receive payment for the work performed, or in the case of cost-reimbursable contracts, provide support for billings in advance of receiving payment. As a result, we may incur significant costs or perform significant amounts of work prior to receipt of payment.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addition, many of our customers for large projects are project-specific entities that do not have significant assets other than their interests in the project and may encounter financial difficulties relating to their businesses. It may be difficult to collect amounts owed to us by these customers. If we are unable to collect amounts owed to us, this would have an adverse effect on our future financial condition, results of operations and cash flows.</w:t>
      </w:r>
    </w:p>
    <w:p>
      <w:pPr>
        <w:spacing w:after="0" w:line="85" w:lineRule="exact"/>
        <w:rPr>
          <w:sz w:val="20"/>
          <w:szCs w:val="20"/>
          <w:color w:val="auto"/>
        </w:rPr>
      </w:pPr>
    </w:p>
    <w:p>
      <w:pPr>
        <w:ind w:left="40" w:right="20" w:firstLine="268"/>
        <w:spacing w:after="0" w:line="253" w:lineRule="auto"/>
        <w:rPr>
          <w:sz w:val="20"/>
          <w:szCs w:val="20"/>
          <w:color w:val="auto"/>
        </w:rPr>
      </w:pPr>
      <w:r>
        <w:rPr>
          <w:rFonts w:ascii="Arial" w:cs="Arial" w:eastAsia="Arial" w:hAnsi="Arial"/>
          <w:sz w:val="18"/>
          <w:szCs w:val="18"/>
          <w:color w:val="auto"/>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or may not be recovered until the claim is resolved. In some instances, these claims can be the subject of lengthy legal proceedings, and it is difficult to accurately predict when they will be fully resolved. A failure to promptly recover on these types of claims could have a negative impact on our financial condition, results of operations and cash flows. Additionally, any such claims may harm our future relationships with our customers.</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is labor intensive and we may be unable to attract and retain qualified employees.</w:t>
      </w:r>
    </w:p>
    <w:p>
      <w:pPr>
        <w:spacing w:after="0" w:line="115" w:lineRule="exact"/>
        <w:rPr>
          <w:sz w:val="20"/>
          <w:szCs w:val="20"/>
          <w:color w:val="auto"/>
        </w:rPr>
      </w:pPr>
    </w:p>
    <w:p>
      <w:pPr>
        <w:ind w:left="40" w:right="40" w:firstLine="268"/>
        <w:spacing w:after="0" w:line="267" w:lineRule="auto"/>
        <w:rPr>
          <w:sz w:val="20"/>
          <w:szCs w:val="20"/>
          <w:color w:val="auto"/>
        </w:rPr>
      </w:pPr>
      <w:r>
        <w:rPr>
          <w:rFonts w:ascii="Arial" w:cs="Arial" w:eastAsia="Arial" w:hAnsi="Arial"/>
          <w:sz w:val="17"/>
          <w:szCs w:val="17"/>
          <w:color w:val="auto"/>
        </w:rPr>
        <w:t>Our ability to maintain our productivity and our operating results may be limited by our ability to employ, train and retain skilled personnel necessary to meet our requirements. We may not be able to maintain an adequate skilled labor force necessary to operate efficiently and to support our growth strategy. We have from time-to-time experienced shortages of certain types of qualified personnel, such as linemen, field supervisors, project managers and engineers, in certain regions. In addition, our projects are sometimes located in remote areas which can make recruitment and deployment of our employees challenging. During periods with large volumes of storm restoration services work, linemen are frequently recruited across geographic regions to satisfy demand. Many linemen are willing to travel to earn premium wages for such work, which from time-to-time makes it difficult for us to retain these workers for ongoing projects when storm conditions persist. The supply of experienced linemen, field supervisors, project managers, engineers and other skilled workers may not be sufficient to meet current or expected demand. The commencement of new, large-scale infrastructure projects or increased demand for infrastructure improvements, as well as the shrinking electric utility workforce, may reduce the pool of skilled workers available to us. Labor shortages could impair our ability to maintain our business or grow our revenues. If we are unable to hire employees with the requisite skills, we may also be forced to incur significant training expenses.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timing of new contracts and termination of existing contracts may result in unpredictable fluctuations in our cash flows and financial results.</w:t>
      </w:r>
    </w:p>
    <w:p>
      <w:pPr>
        <w:spacing w:after="0" w:line="138" w:lineRule="exact"/>
        <w:rPr>
          <w:sz w:val="20"/>
          <w:szCs w:val="20"/>
          <w:color w:val="auto"/>
        </w:rPr>
      </w:pPr>
    </w:p>
    <w:p>
      <w:pPr>
        <w:ind w:left="40" w:right="100" w:firstLine="268"/>
        <w:spacing w:after="0" w:line="260" w:lineRule="auto"/>
        <w:rPr>
          <w:sz w:val="20"/>
          <w:szCs w:val="20"/>
          <w:color w:val="auto"/>
        </w:rPr>
      </w:pPr>
      <w:r>
        <w:rPr>
          <w:rFonts w:ascii="Arial" w:cs="Arial" w:eastAsia="Arial" w:hAnsi="Arial"/>
          <w:sz w:val="18"/>
          <w:szCs w:val="18"/>
          <w:color w:val="auto"/>
        </w:rPr>
        <w:t>A substantial portion of our revenues are derived from project-based work that is awarded through a competitive bid process. It is generally very difficult to predict the timing and geographic distribution of the projects that we will be awarded. The selection of, timing of, or failure to obtain projects, delays in awards of</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0"/>
        <w:spacing w:after="0" w:line="287" w:lineRule="auto"/>
        <w:rPr>
          <w:sz w:val="20"/>
          <w:szCs w:val="20"/>
          <w:color w:val="auto"/>
        </w:rPr>
      </w:pPr>
      <w:r>
        <w:rPr>
          <w:rFonts w:ascii="Arial" w:cs="Arial" w:eastAsia="Arial" w:hAnsi="Arial"/>
          <w:sz w:val="16"/>
          <w:szCs w:val="16"/>
          <w:color w:val="auto"/>
        </w:rPr>
        <w:t>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whether, or when, work will begin. This can present 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spacing w:after="0" w:line="64" w:lineRule="exact"/>
        <w:rPr>
          <w:sz w:val="20"/>
          <w:szCs w:val="20"/>
          <w:color w:val="auto"/>
        </w:rPr>
      </w:pPr>
    </w:p>
    <w:p>
      <w:pPr>
        <w:ind w:left="40" w:right="20" w:firstLine="268"/>
        <w:spacing w:after="0" w:line="252" w:lineRule="auto"/>
        <w:rPr>
          <w:sz w:val="20"/>
          <w:szCs w:val="20"/>
          <w:color w:val="auto"/>
        </w:rPr>
      </w:pPr>
      <w:r>
        <w:rPr>
          <w:rFonts w:ascii="Arial" w:cs="Arial" w:eastAsia="Arial" w:hAnsi="Arial"/>
          <w:sz w:val="18"/>
          <w:szCs w:val="18"/>
          <w:color w:val="auto"/>
        </w:rPr>
        <w:t>Many of our contracts may be canceled upon short notice, typically 30 to 90 days, even if we are not in default under the contract, and we may be unsuccessful in replacing our contracts if they are canceled or as they are completed or expire. We could experience a decrease in our revenue, net income and liquidity if contracts are canceled and if we are unable to replace canceled, completed or expired contracts.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opened to competitive bid at the expiration of their terms. There can be no assurance that we will be the successful bidder on our existing contracts that come up for re-bid.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incur liabilities and suffer negative financial or reputational impacts relating to occupational health and safety matters.</w:t>
      </w:r>
    </w:p>
    <w:p>
      <w:pPr>
        <w:spacing w:after="0" w:line="115" w:lineRule="exact"/>
        <w:rPr>
          <w:sz w:val="20"/>
          <w:szCs w:val="20"/>
          <w:color w:val="auto"/>
        </w:rPr>
      </w:pPr>
    </w:p>
    <w:p>
      <w:pPr>
        <w:ind w:left="40" w:right="40" w:firstLine="268"/>
        <w:spacing w:after="0" w:line="286" w:lineRule="auto"/>
        <w:rPr>
          <w:sz w:val="20"/>
          <w:szCs w:val="20"/>
          <w:color w:val="auto"/>
        </w:rPr>
      </w:pPr>
      <w:r>
        <w:rPr>
          <w:rFonts w:ascii="Arial" w:cs="Arial" w:eastAsia="Arial" w:hAnsi="Arial"/>
          <w:sz w:val="16"/>
          <w:szCs w:val="16"/>
          <w:color w:val="auto"/>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These hazards can cause personal injury or loss of life, severe damage to or destruction of property and equipment and other consequential damages and could lead to suspension of operations, large monetary claims and, in extreme cases, criminal liability. Our workforce have suffered serious injuries and fatalities in the past and may suffer additional serious injuries and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spacing w:after="0" w:line="61" w:lineRule="exact"/>
        <w:rPr>
          <w:sz w:val="20"/>
          <w:szCs w:val="20"/>
          <w:color w:val="auto"/>
        </w:rPr>
      </w:pPr>
    </w:p>
    <w:p>
      <w:pPr>
        <w:jc w:val="both"/>
        <w:ind w:left="40" w:right="40" w:firstLine="268"/>
        <w:spacing w:after="0" w:line="260" w:lineRule="auto"/>
        <w:rPr>
          <w:sz w:val="20"/>
          <w:szCs w:val="20"/>
          <w:color w:val="auto"/>
        </w:rPr>
      </w:pPr>
      <w:r>
        <w:rPr>
          <w:rFonts w:ascii="Arial" w:cs="Arial" w:eastAsia="Arial" w:hAnsi="Arial"/>
          <w:sz w:val="18"/>
          <w:szCs w:val="18"/>
          <w:color w:val="auto"/>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Backlog may not be realized or may not result in profits and may not accurately represent future revenue.</w:t>
      </w:r>
    </w:p>
    <w:p>
      <w:pPr>
        <w:spacing w:after="0" w:line="115"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w:t>
      </w: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40"/>
        <w:spacing w:after="0" w:line="272" w:lineRule="auto"/>
        <w:rPr>
          <w:sz w:val="20"/>
          <w:szCs w:val="20"/>
          <w:color w:val="auto"/>
        </w:rPr>
      </w:pPr>
      <w:r>
        <w:rPr>
          <w:rFonts w:ascii="Arial" w:cs="Arial" w:eastAsia="Arial" w:hAnsi="Arial"/>
          <w:sz w:val="18"/>
          <w:szCs w:val="18"/>
          <w:color w:val="auto"/>
        </w:rPr>
        <w:t>should not be viewed or relied upon as a stand-alone indicator. Consequently, we cannot provide assurance as to our customers’ requirements or our estimates of backlog. See “Item 1. Business — Backlog” for a discussion on how we calculate backlog for our business.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growth could outpace the capability of our internal resources and limit our ability to support growth.</w:t>
      </w:r>
    </w:p>
    <w:p>
      <w:pPr>
        <w:spacing w:after="0" w:line="115" w:lineRule="exact"/>
        <w:rPr>
          <w:sz w:val="20"/>
          <w:szCs w:val="20"/>
          <w:color w:val="auto"/>
        </w:rPr>
      </w:pPr>
    </w:p>
    <w:p>
      <w:pPr>
        <w:ind w:left="40" w:right="320" w:firstLine="268"/>
        <w:spacing w:after="0" w:line="256" w:lineRule="auto"/>
        <w:rPr>
          <w:sz w:val="20"/>
          <w:szCs w:val="20"/>
          <w:color w:val="auto"/>
        </w:rPr>
      </w:pPr>
      <w:r>
        <w:rPr>
          <w:rFonts w:ascii="Arial" w:cs="Arial" w:eastAsia="Arial" w:hAnsi="Arial"/>
          <w:sz w:val="18"/>
          <w:szCs w:val="18"/>
          <w:color w:val="auto"/>
        </w:rPr>
        <w:t>Our internal resources, including our workforce, specialized equipment and financial resources, may not be adequate to support our operations as they expand, particularly if we are awarded a significant number of large projects in a short time period. A large project may require hiring additional qualified personnel, such as linemen, field supervisors, project managers, engineers and safety personnel, the supply of which may not be sufficient to meet our demands.</w:t>
      </w:r>
    </w:p>
    <w:p>
      <w:pPr>
        <w:spacing w:after="0" w:line="83" w:lineRule="exact"/>
        <w:rPr>
          <w:sz w:val="20"/>
          <w:szCs w:val="20"/>
          <w:color w:val="auto"/>
        </w:rPr>
      </w:pPr>
    </w:p>
    <w:p>
      <w:pPr>
        <w:ind w:left="40" w:right="80" w:firstLine="268"/>
        <w:spacing w:after="0" w:line="254" w:lineRule="auto"/>
        <w:rPr>
          <w:sz w:val="20"/>
          <w:szCs w:val="20"/>
          <w:color w:val="auto"/>
        </w:rPr>
      </w:pPr>
      <w:r>
        <w:rPr>
          <w:rFonts w:ascii="Arial" w:cs="Arial" w:eastAsia="Arial" w:hAnsi="Arial"/>
          <w:sz w:val="18"/>
          <w:szCs w:val="18"/>
          <w:color w:val="auto"/>
        </w:rPr>
        <w:t>Often large transmission projects require specialized equipment. To the extent that we are unable to buy or build equipment necessary for a project, either due to a lack of available funding or equipment shortages in the marketplace, we may be forced to rent equipment on a short-term basis or to find alternative ways to perform the work without the benefit of equipment ideally suited for the job, which could increase the costs of completing the project. Furthermore, we may be unable to buy or rent the specialty equipment and tooling we require due to the limited number of manufacturers and distributors in the marketplace.</w:t>
      </w:r>
    </w:p>
    <w:p>
      <w:pPr>
        <w:spacing w:after="0" w:line="85" w:lineRule="exact"/>
        <w:rPr>
          <w:sz w:val="20"/>
          <w:szCs w:val="20"/>
          <w:color w:val="auto"/>
        </w:rPr>
      </w:pPr>
    </w:p>
    <w:p>
      <w:pPr>
        <w:ind w:left="40" w:right="40" w:firstLine="268"/>
        <w:spacing w:after="0" w:line="302" w:lineRule="auto"/>
        <w:rPr>
          <w:sz w:val="20"/>
          <w:szCs w:val="20"/>
          <w:color w:val="auto"/>
        </w:rPr>
      </w:pPr>
      <w:r>
        <w:rPr>
          <w:rFonts w:ascii="Arial" w:cs="Arial" w:eastAsia="Arial" w:hAnsi="Arial"/>
          <w:sz w:val="17"/>
          <w:szCs w:val="17"/>
          <w:color w:val="auto"/>
        </w:rPr>
        <w:t>Larger projects may require substantial financial resources to meet the cash flow, bonding or letter of credit requirements imposed upon contractors by the customer. Future growth also could impose additional demands and responsibilities on members of our senior management.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dependence on suppliers, subcontractors and equipment manufacturers could expose us to the risk of loss in our operations.</w:t>
      </w:r>
    </w:p>
    <w:p>
      <w:pPr>
        <w:spacing w:after="0" w:line="115"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On certain projects, we rely on suppliers to obtain the necessary materials and subcontractors to perform portions of our services. We also rely on equipment manufacturers to provide us with the equipment required to conduct our operations. Although we are not dependent on any single supplier, subcontractor or equipment manufacturer, any substantial limitation on the availability of required suppliers, subcontractors or equipment manufacturers could negatively impact our operations. The risk of a lack of available suppliers, subcontractors or equipment manufacturers may be heightened as a result of market and economic conditions. To the extent we cannot engage subcontractors or acquire equipment or materials, we could experience losses in the performance of our operations. Additionally, successful completion of our contracts may depend on whether our subcontractors successfully fulfill their contractual obligations. If our subcontractors fail to perform their contractual obligations as a result of financial or other difficulties, or if our subcontractors fail to meet the expected completion dates or quality standards, we may be required to incur additional costs or provide additional services in order to make up such shortfall and we may suffer damage to our reputation.</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participation in joint ventures and other projects with third parties may expose us to liability for failures of our partners.</w:t>
      </w:r>
    </w:p>
    <w:p>
      <w:pPr>
        <w:spacing w:after="0" w:line="115" w:lineRule="exact"/>
        <w:rPr>
          <w:sz w:val="20"/>
          <w:szCs w:val="20"/>
          <w:color w:val="auto"/>
        </w:rPr>
      </w:pPr>
    </w:p>
    <w:p>
      <w:pPr>
        <w:ind w:left="40" w:right="100" w:firstLine="268"/>
        <w:spacing w:after="0" w:line="252" w:lineRule="auto"/>
        <w:rPr>
          <w:sz w:val="20"/>
          <w:szCs w:val="20"/>
          <w:color w:val="auto"/>
        </w:rPr>
      </w:pPr>
      <w:r>
        <w:rPr>
          <w:rFonts w:ascii="Arial" w:cs="Arial" w:eastAsia="Arial" w:hAnsi="Arial"/>
          <w:sz w:val="18"/>
          <w:szCs w:val="18"/>
          <w:color w:val="auto"/>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Legislative or regulatory actions relating to electricity transmission and renewable energy may impact demand for our services.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Current and potential legislative or regulatory actions may impact demand for our services. Certain legislation or regulations require utilities to meet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reliability standards and encourage installation of new electric transmission and renewable energy generation facilities. However, it is unclear whether these</w:t>
      </w:r>
    </w:p>
    <w:p>
      <w:pPr>
        <w:spacing w:after="0" w:line="200" w:lineRule="exact"/>
        <w:rPr>
          <w:sz w:val="20"/>
          <w:szCs w:val="20"/>
          <w:color w:val="auto"/>
        </w:rPr>
      </w:pPr>
    </w:p>
    <w:p>
      <w:pPr>
        <w:spacing w:after="0" w:line="38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100"/>
        <w:spacing w:after="0" w:line="272" w:lineRule="auto"/>
        <w:rPr>
          <w:sz w:val="20"/>
          <w:szCs w:val="20"/>
          <w:color w:val="auto"/>
        </w:rPr>
      </w:pPr>
      <w:r>
        <w:rPr>
          <w:rFonts w:ascii="Arial" w:cs="Arial" w:eastAsia="Arial" w:hAnsi="Arial"/>
          <w:sz w:val="18"/>
          <w:szCs w:val="18"/>
          <w:color w:val="auto"/>
        </w:rPr>
        <w:t>initiatives will create sufficient incentives for projects or result in increased demand for our services. Additionally, in the past we have benefited from certain tax credits that are being eliminated, which could impact current and future demand for our services.</w:t>
      </w:r>
    </w:p>
    <w:p>
      <w:pPr>
        <w:spacing w:after="0" w:line="67" w:lineRule="exact"/>
        <w:rPr>
          <w:sz w:val="20"/>
          <w:szCs w:val="20"/>
          <w:color w:val="auto"/>
        </w:rPr>
      </w:pPr>
    </w:p>
    <w:p>
      <w:pPr>
        <w:ind w:left="40" w:firstLine="268"/>
        <w:spacing w:after="0" w:line="291" w:lineRule="auto"/>
        <w:rPr>
          <w:sz w:val="20"/>
          <w:szCs w:val="20"/>
          <w:color w:val="auto"/>
        </w:rPr>
      </w:pPr>
      <w:r>
        <w:rPr>
          <w:rFonts w:ascii="Arial" w:cs="Arial" w:eastAsia="Arial" w:hAnsi="Arial"/>
          <w:sz w:val="16"/>
          <w:szCs w:val="16"/>
          <w:color w:val="auto"/>
        </w:rPr>
        <w:t>While many states have mandates in place that require specified percentages of electricity to be generated from renewable sources, states could reduce those mandates or make them optional, which could reduce, delay or eliminate renewable energy development in the affected states. Additionally, renewable energy is generally more expensive to produce and may require additional power generation sources as backup. The locations of renewable energy projects are often remote and may not be viable unless new or expanded transmission infrastructure to transport the electricity to demand centers is economically feasible. Furthermore, funding for renewable energy initiatives may not be available. These factors could result in fewer renewable energy projects and a delay in the construction of these projects and the related infrastructure, which could negatively impact our business.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use of percentage-of-completion accounting could result in a reduction or reversal of previously recognized profits.</w:t>
      </w:r>
    </w:p>
    <w:p>
      <w:pPr>
        <w:spacing w:after="0" w:line="115"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As discussed in “Item 7. Management’s Discussion and Analysis of Financial Condition and Results from Operations — Critical Accounting Policies” and in the notes to our Financial Statements, a significant portion of our revenues is recognized on a percentage-of-completion method of accounting, using the cost-to-cost method. This method is used because management considers expended costs to be the best available measure of progress on these contracts. This accounting method is commonly used in the construction industry for fixed-price contracts.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 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actual costs may be greater than expected in performing our fixed-price and unit-price contracts.</w:t>
      </w:r>
    </w:p>
    <w:p>
      <w:pPr>
        <w:spacing w:after="0" w:line="115" w:lineRule="exact"/>
        <w:rPr>
          <w:sz w:val="20"/>
          <w:szCs w:val="20"/>
          <w:color w:val="auto"/>
        </w:rPr>
      </w:pPr>
    </w:p>
    <w:p>
      <w:pPr>
        <w:ind w:left="40" w:right="80" w:firstLine="268"/>
        <w:spacing w:after="0" w:line="294" w:lineRule="auto"/>
        <w:rPr>
          <w:sz w:val="20"/>
          <w:szCs w:val="20"/>
          <w:color w:val="auto"/>
        </w:rPr>
      </w:pPr>
      <w:r>
        <w:rPr>
          <w:rFonts w:ascii="Arial" w:cs="Arial" w:eastAsia="Arial" w:hAnsi="Arial"/>
          <w:sz w:val="16"/>
          <w:szCs w:val="16"/>
          <w:color w:val="auto"/>
        </w:rPr>
        <w:t>We currently generate, and expect to continue to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spacing w:after="0" w:line="53" w:lineRule="exact"/>
        <w:rPr>
          <w:sz w:val="20"/>
          <w:szCs w:val="20"/>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properly estimate costs of engineering, material, equipment or labor;</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inefficient labor performance;</w:t>
      </w:r>
    </w:p>
    <w:p>
      <w:pPr>
        <w:spacing w:after="0" w:line="114" w:lineRule="exact"/>
        <w:rPr>
          <w:rFonts w:ascii="Arial" w:cs="Arial" w:eastAsia="Arial" w:hAnsi="Arial"/>
          <w:sz w:val="18"/>
          <w:szCs w:val="18"/>
          <w:color w:val="auto"/>
        </w:rPr>
      </w:pPr>
    </w:p>
    <w:p>
      <w:pPr>
        <w:ind w:left="600" w:right="340" w:hanging="326"/>
        <w:spacing w:after="0" w:line="27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technical problems with the materials or services being supplied by us, which may require us to incur additional costs to remedy the problem;</w:t>
      </w:r>
    </w:p>
    <w:p>
      <w:pPr>
        <w:spacing w:after="0" w:line="67"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 modifications that create unanticipated costs;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costs of equipment, materials, labor or subcontractors;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our suppliers or subcontractors to perform;</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our customers obtaining required governmental permits or approvals;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site conditions that differ from those assumed in the original bid (to the extent contract remedies are unavailable);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skill level of workers in the geographic location of the project;</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600" w:hanging="32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cost of fuel or other resources;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laws and regulations;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caused by local weather conditions, third parties or customers; or</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issues requiring rework.</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financial results are based upon estimates and assumptions that may differ from actual results.</w:t>
      </w:r>
    </w:p>
    <w:p>
      <w:pPr>
        <w:spacing w:after="0" w:line="115" w:lineRule="exact"/>
        <w:rPr>
          <w:sz w:val="20"/>
          <w:szCs w:val="20"/>
          <w:color w:val="auto"/>
        </w:rPr>
      </w:pPr>
    </w:p>
    <w:p>
      <w:pPr>
        <w:ind w:left="40" w:right="40" w:firstLine="268"/>
        <w:spacing w:after="0" w:line="253" w:lineRule="auto"/>
        <w:rPr>
          <w:sz w:val="20"/>
          <w:szCs w:val="20"/>
          <w:color w:val="auto"/>
        </w:rPr>
      </w:pPr>
      <w:r>
        <w:rPr>
          <w:rFonts w:ascii="Arial" w:cs="Arial" w:eastAsia="Arial" w:hAnsi="Arial"/>
          <w:sz w:val="18"/>
          <w:szCs w:val="18"/>
          <w:color w:val="auto"/>
        </w:rPr>
        <w:t>In preparing our financial statements in conformity with generally accepted accounting principles in the United States (“U.S.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cannot be calculated with a high degree of precision from data available or is not capable of being readily calculated. In some cases, these estimates are particularly difficult to determine, and we must exercise significant judgment.</w:t>
      </w:r>
    </w:p>
    <w:p>
      <w:pPr>
        <w:spacing w:after="0" w:line="86" w:lineRule="exact"/>
        <w:rPr>
          <w:sz w:val="20"/>
          <w:szCs w:val="20"/>
          <w:color w:val="auto"/>
        </w:rPr>
      </w:pPr>
    </w:p>
    <w:p>
      <w:pPr>
        <w:ind w:left="40" w:right="20" w:firstLine="268"/>
        <w:spacing w:after="0" w:line="291" w:lineRule="auto"/>
        <w:rPr>
          <w:sz w:val="20"/>
          <w:szCs w:val="20"/>
          <w:color w:val="auto"/>
        </w:rPr>
      </w:pPr>
      <w:r>
        <w:rPr>
          <w:rFonts w:ascii="Arial" w:cs="Arial" w:eastAsia="Arial" w:hAnsi="Arial"/>
          <w:sz w:val="16"/>
          <w:szCs w:val="16"/>
          <w:color w:val="auto"/>
        </w:rPr>
        <w:t>The most significant estimates we use are related to costs to complete contracts, pending change orders and claims, shared savings, insurance reserves, income tax reserves, estimates surrounding stock-based compensation, the recoverability of goodwill and intangibles, and accounts receivable reserves. We also may use estimates in our assessment of the useful lives of property and equipment, the valuation allowance on deferred taxes and the provision for income taxes. From time-to-time, we may publicly provide earnings or other forms of guidance, which reflect our predictions about future revenue, operating costs and capital structure, among other factors. These predictions may be impacted by estimates, as well as other factors that are beyond our control and may not turn out to be correct. Actual results for all estimates could differ materially from the estimates and assumptions that we use.</w:t>
      </w:r>
    </w:p>
    <w:p>
      <w:pPr>
        <w:spacing w:after="0" w:line="56"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We maintain insurance policies with respect to automobile liability, general liability, workers’ compensation, and other coverages, but those policies do no cover all possible claims and are subject to high deductible limits. We also have an employee health care benefit plan for employees not subject to collective bargaining agreements, which is subject to certain deductible limits. Insurance losses are accrued based upon our estimates of the ultimate liability for claims reported and an estimate of claims incurred but not yet reported. However, insurance liabilities are difficult to assess and estimate due to unknown factors, including the severity of an injury, the determination of our liability in proportion to other parties, the number of incidents not reported and the effectiveness of our safety programs, and as a result, our actual losses may exceed our estimates.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loss of a key customer could have an adverse effect on us.</w:t>
      </w:r>
    </w:p>
    <w:p>
      <w:pPr>
        <w:spacing w:after="0" w:line="115" w:lineRule="exact"/>
        <w:rPr>
          <w:sz w:val="20"/>
          <w:szCs w:val="20"/>
          <w:color w:val="auto"/>
        </w:rPr>
      </w:pPr>
    </w:p>
    <w:p>
      <w:pPr>
        <w:ind w:left="40" w:right="80" w:firstLine="268"/>
        <w:spacing w:after="0" w:line="254" w:lineRule="auto"/>
        <w:rPr>
          <w:sz w:val="20"/>
          <w:szCs w:val="20"/>
          <w:color w:val="auto"/>
        </w:rPr>
      </w:pPr>
      <w:r>
        <w:rPr>
          <w:rFonts w:ascii="Arial" w:cs="Arial" w:eastAsia="Arial" w:hAnsi="Arial"/>
          <w:sz w:val="18"/>
          <w:szCs w:val="18"/>
          <w:color w:val="auto"/>
        </w:rPr>
        <w:t>Our customer base is highly concentrated, with our top ten customers accounting for 40.4% of our revenue and one T&amp;D customer accounting for 10.7% of our revenues for the year ended December 31, 2017. Much of our success depends on developing and maintaining relationships with our major customers. Our revenue could significantly decline if we lose one or more of our significant customers. In addition, revenues generated from contracts with significant customers may vary from period-to-period depending on the timing and volume of work ordered by such customers in a given period and as a result of competition from the in-house service organizations of our customers.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failure to comply with environmental and other laws and regulations could result in significant liabilities.</w:t>
      </w:r>
    </w:p>
    <w:p>
      <w:pPr>
        <w:spacing w:after="0" w:line="115" w:lineRule="exact"/>
        <w:rPr>
          <w:sz w:val="20"/>
          <w:szCs w:val="20"/>
          <w:color w:val="auto"/>
        </w:rPr>
      </w:pPr>
    </w:p>
    <w:p>
      <w:pPr>
        <w:ind w:left="40" w:right="20" w:firstLine="268"/>
        <w:spacing w:after="0" w:line="273" w:lineRule="auto"/>
        <w:rPr>
          <w:sz w:val="20"/>
          <w:szCs w:val="20"/>
          <w:color w:val="auto"/>
        </w:rPr>
      </w:pPr>
      <w:r>
        <w:rPr>
          <w:rFonts w:ascii="Arial" w:cs="Arial" w:eastAsia="Arial" w:hAnsi="Arial"/>
          <w:sz w:val="17"/>
          <w:szCs w:val="17"/>
          <w:color w:val="auto"/>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w:t>
      </w:r>
    </w:p>
    <w:p>
      <w:pPr>
        <w:spacing w:after="0" w:line="200" w:lineRule="exact"/>
        <w:rPr>
          <w:sz w:val="20"/>
          <w:szCs w:val="20"/>
          <w:color w:val="auto"/>
        </w:rPr>
      </w:pPr>
    </w:p>
    <w:p>
      <w:pPr>
        <w:spacing w:after="0" w:line="3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140"/>
        <w:spacing w:after="0" w:line="276" w:lineRule="auto"/>
        <w:rPr>
          <w:sz w:val="20"/>
          <w:szCs w:val="20"/>
          <w:color w:val="auto"/>
        </w:rPr>
      </w:pPr>
      <w:r>
        <w:rPr>
          <w:rFonts w:ascii="Arial" w:cs="Arial" w:eastAsia="Arial" w:hAnsi="Arial"/>
          <w:sz w:val="17"/>
          <w:szCs w:val="17"/>
          <w:color w:val="auto"/>
        </w:rPr>
        <w:t>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 penalties and damages under certain environmental laws and regulations, which could materially and adversely affect our business and results of operations.</w:t>
      </w:r>
    </w:p>
    <w:p>
      <w:pPr>
        <w:spacing w:after="0" w:line="66" w:lineRule="exact"/>
        <w:rPr>
          <w:sz w:val="20"/>
          <w:szCs w:val="20"/>
          <w:color w:val="auto"/>
        </w:rPr>
      </w:pPr>
    </w:p>
    <w:p>
      <w:pPr>
        <w:ind w:left="40" w:right="40" w:firstLine="268"/>
        <w:spacing w:after="0" w:line="254" w:lineRule="auto"/>
        <w:rPr>
          <w:sz w:val="20"/>
          <w:szCs w:val="20"/>
          <w:color w:val="auto"/>
        </w:rPr>
      </w:pPr>
      <w:r>
        <w:rPr>
          <w:rFonts w:ascii="Arial" w:cs="Arial" w:eastAsia="Arial" w:hAnsi="Arial"/>
          <w:sz w:val="18"/>
          <w:szCs w:val="18"/>
          <w:color w:val="auto"/>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financial condition and results of operations.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spacing w:after="0" w:line="85"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Legislative and regulatory proposals related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in light of our large fleet. In addition, if our operations are perceived to result in high greenhouse gas emissions, our reputation could suffer.</w:t>
      </w:r>
    </w:p>
    <w:p>
      <w:pPr>
        <w:spacing w:after="0" w:line="85" w:lineRule="exact"/>
        <w:rPr>
          <w:sz w:val="20"/>
          <w:szCs w:val="20"/>
          <w:color w:val="auto"/>
        </w:rPr>
      </w:pPr>
    </w:p>
    <w:p>
      <w:pPr>
        <w:ind w:left="40" w:firstLine="268"/>
        <w:spacing w:after="0" w:line="308" w:lineRule="auto"/>
        <w:rPr>
          <w:sz w:val="20"/>
          <w:szCs w:val="20"/>
          <w:color w:val="auto"/>
        </w:rPr>
      </w:pPr>
      <w:r>
        <w:rPr>
          <w:rFonts w:ascii="Arial" w:cs="Arial" w:eastAsia="Arial" w:hAnsi="Arial"/>
          <w:sz w:val="16"/>
          <w:szCs w:val="16"/>
          <w:color w:val="auto"/>
        </w:rPr>
        <w:t>In addition, we are subject to laws and regulations protecting endangered species. Laws also protect Native American artifacts and archaeological sites and a part of our business is operated in the southwestern United States, where there is a greater chance of discovering those sites. We may incur work stoppages to avoid violating these laws and regulations, or we may risk fines or other sanctions for accidentally or willfully violating these laws and regulations.</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Unavailability or cancellation of third party insurance coverages would increase our overall risk exposure and could disrupt our operations.</w:t>
      </w:r>
    </w:p>
    <w:p>
      <w:pPr>
        <w:spacing w:after="0" w:line="126" w:lineRule="exact"/>
        <w:rPr>
          <w:sz w:val="20"/>
          <w:szCs w:val="20"/>
          <w:color w:val="auto"/>
        </w:rPr>
      </w:pPr>
    </w:p>
    <w:p>
      <w:pPr>
        <w:ind w:left="40" w:right="20" w:firstLine="268"/>
        <w:spacing w:after="0" w:line="254" w:lineRule="auto"/>
        <w:rPr>
          <w:sz w:val="20"/>
          <w:szCs w:val="20"/>
          <w:color w:val="auto"/>
        </w:rPr>
      </w:pPr>
      <w:r>
        <w:rPr>
          <w:rFonts w:ascii="Arial" w:cs="Arial" w:eastAsia="Arial" w:hAnsi="Arial"/>
          <w:sz w:val="18"/>
          <w:szCs w:val="18"/>
          <w:color w:val="auto"/>
        </w:rPr>
        <w:t>We maintain insurance coverages from third party insurers as part of our overall risk management strategy and because some of our contracts require us to maintain specific insurance coverage limits. Although we maintain insurance policies with respect to automobile liability, general liability, workers’ compensation, our employee group health program, and other types of coverages, these policies are subject to high deductibles, and we are self-insured up to the amount of those deductibles. There can be no assurance that our current or past insurance coverages will be sufficient or effective under all circumstances or against all claims and liabilities to which we may be subject.</w:t>
      </w:r>
    </w:p>
    <w:p>
      <w:pPr>
        <w:spacing w:after="0" w:line="85"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We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affordable at the required limits. In addition, insurers may fail, cancel our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w:t>
      </w:r>
    </w:p>
    <w:p>
      <w:pPr>
        <w:spacing w:after="0" w:line="85" w:lineRule="exact"/>
        <w:rPr>
          <w:sz w:val="20"/>
          <w:szCs w:val="20"/>
          <w:color w:val="auto"/>
        </w:rPr>
      </w:pPr>
    </w:p>
    <w:p>
      <w:pPr>
        <w:jc w:val="both"/>
        <w:ind w:left="40" w:right="140" w:firstLine="268"/>
        <w:spacing w:after="0" w:line="260" w:lineRule="auto"/>
        <w:rPr>
          <w:sz w:val="20"/>
          <w:szCs w:val="20"/>
          <w:color w:val="auto"/>
        </w:rPr>
      </w:pPr>
      <w:r>
        <w:rPr>
          <w:rFonts w:ascii="Arial" w:cs="Arial" w:eastAsia="Arial" w:hAnsi="Arial"/>
          <w:sz w:val="18"/>
          <w:szCs w:val="18"/>
          <w:color w:val="auto"/>
        </w:rPr>
        <w:t>If any of these events occurs, our overall risk exposure would increase and our operations could be disrupted. If our risk exposure increases as a result of adverse changes in our insurance coverages, we could be subject to increased claims and liabilities that could negatively affect our results of operations and financial condition.</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extend trade credit to customers for purchases of our services, and may have difficulty collecting receivables from them.</w:t>
      </w:r>
    </w:p>
    <w:p>
      <w:pPr>
        <w:spacing w:after="0" w:line="115" w:lineRule="exact"/>
        <w:rPr>
          <w:sz w:val="20"/>
          <w:szCs w:val="20"/>
          <w:color w:val="auto"/>
        </w:rPr>
      </w:pPr>
    </w:p>
    <w:p>
      <w:pPr>
        <w:ind w:left="40" w:right="220" w:firstLine="268"/>
        <w:spacing w:after="0" w:line="260" w:lineRule="auto"/>
        <w:rPr>
          <w:sz w:val="20"/>
          <w:szCs w:val="20"/>
          <w:color w:val="auto"/>
        </w:rPr>
      </w:pPr>
      <w:r>
        <w:rPr>
          <w:rFonts w:ascii="Arial" w:cs="Arial" w:eastAsia="Arial" w:hAnsi="Arial"/>
          <w:sz w:val="18"/>
          <w:szCs w:val="18"/>
          <w:color w:val="auto"/>
        </w:rPr>
        <w:t>We grant trade credit, generally without collateral, to our customers for the purchase of our services. We have in the past, and may in the future, have difficulty collecting receivables from customers, particularly those experiencing financial difficulties. Our customers in the T&amp;D segment include investor-owned utilities,</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89" w:lineRule="auto"/>
        <w:rPr>
          <w:sz w:val="20"/>
          <w:szCs w:val="20"/>
          <w:color w:val="auto"/>
        </w:rPr>
      </w:pPr>
      <w:r>
        <w:rPr>
          <w:rFonts w:ascii="Arial" w:cs="Arial" w:eastAsia="Arial" w:hAnsi="Arial"/>
          <w:sz w:val="16"/>
          <w:szCs w:val="16"/>
          <w:color w:val="auto"/>
        </w:rPr>
        <w:t>cooperatives, private developers, government-funded utilities, independent power producers, independent transmission companies, industrial facility owners and other contractors. Our customers in the C&amp;I segment include general contractors, commercial and industrial facility owners, local governments and developers located in our regional markets. Our customers also include special purpose entities that own T&amp;D projects which do not have the financial resources of traditional transmission utility operators. Consequently, we are subject to potential credit risk related to changes in business and economic factors. Due to our work on large construction projects, a few customers sometimes may comprise a large portion of our receivable balance at any point in time. If any of our major customers experience financial difficulties, we could experience reduced cash flows and losses in excess of current allowances provided. In addition, material changes in any of our customers’ revenues or cash flows could affect our ability to collect amounts due from them.</w:t>
      </w:r>
    </w:p>
    <w:p>
      <w:pPr>
        <w:spacing w:after="0" w:line="85" w:lineRule="exact"/>
        <w:rPr>
          <w:sz w:val="20"/>
          <w:szCs w:val="20"/>
          <w:color w:val="auto"/>
        </w:rPr>
      </w:pPr>
    </w:p>
    <w:p>
      <w:pPr>
        <w:ind w:left="40" w:right="300"/>
        <w:spacing w:after="0" w:line="272" w:lineRule="auto"/>
        <w:rPr>
          <w:sz w:val="20"/>
          <w:szCs w:val="20"/>
          <w:color w:val="auto"/>
        </w:rPr>
      </w:pPr>
      <w:r>
        <w:rPr>
          <w:rFonts w:ascii="Arial" w:cs="Arial" w:eastAsia="Arial" w:hAnsi="Arial"/>
          <w:sz w:val="18"/>
          <w:szCs w:val="18"/>
          <w:b w:val="1"/>
          <w:bCs w:val="1"/>
          <w:i w:val="1"/>
          <w:iCs w:val="1"/>
          <w:color w:val="auto"/>
        </w:rPr>
        <w:t>We may not be able to compete for, or work on, certain projects if we are not able to obtain necessary bonds, letters of credit, bank guarantees or other financial assurances.</w:t>
      </w:r>
    </w:p>
    <w:p>
      <w:pPr>
        <w:spacing w:after="0" w:line="67"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Our contracts may require that we provide to our customers security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w:t>
      </w:r>
    </w:p>
    <w:p>
      <w:pPr>
        <w:spacing w:after="0" w:line="71" w:lineRule="exact"/>
        <w:rPr>
          <w:sz w:val="20"/>
          <w:szCs w:val="20"/>
          <w:color w:val="auto"/>
        </w:rPr>
      </w:pPr>
    </w:p>
    <w:p>
      <w:pPr>
        <w:ind w:left="40" w:right="60" w:firstLine="268"/>
        <w:spacing w:after="0" w:line="298" w:lineRule="auto"/>
        <w:rPr>
          <w:sz w:val="20"/>
          <w:szCs w:val="20"/>
          <w:color w:val="auto"/>
        </w:rPr>
      </w:pPr>
      <w:r>
        <w:rPr>
          <w:rFonts w:ascii="Arial" w:cs="Arial" w:eastAsia="Arial" w:hAnsi="Arial"/>
          <w:sz w:val="16"/>
          <w:szCs w:val="16"/>
          <w:color w:val="auto"/>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Inability to hire or retain key personnel could disrupt our business.</w:t>
      </w:r>
    </w:p>
    <w:p>
      <w:pPr>
        <w:spacing w:after="0" w:line="115" w:lineRule="exact"/>
        <w:rPr>
          <w:sz w:val="20"/>
          <w:szCs w:val="20"/>
          <w:color w:val="auto"/>
        </w:rPr>
      </w:pPr>
    </w:p>
    <w:p>
      <w:pPr>
        <w:ind w:left="40" w:right="60" w:firstLine="268"/>
        <w:spacing w:after="0" w:line="289" w:lineRule="auto"/>
        <w:rPr>
          <w:sz w:val="20"/>
          <w:szCs w:val="20"/>
          <w:color w:val="auto"/>
        </w:rPr>
      </w:pPr>
      <w:r>
        <w:rPr>
          <w:rFonts w:ascii="Arial" w:cs="Arial" w:eastAsia="Arial" w:hAnsi="Arial"/>
          <w:sz w:val="16"/>
          <w:szCs w:val="16"/>
          <w:color w:val="auto"/>
        </w:rPr>
        <w:t>The success of our business depends upon the continued efforts and abilities of our executive officers and senior management, including the management at each operating subsidiary. The relationships between our executive officers and senior management and our customers are important to obtaining and retaining business. We are also dependent upon our project managers and field supervisors who are responsible for managing and recruiting employees to our projects. There can be no assurance that any individual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 of key personnel. The loss of key personnel, or the inability to hire and retain qualified employees, could negatively impact our ability to manage our business and relationships with our customers.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business may be affected by seasonal and other variations, including severe weather conditions and the nature of our work environment.</w:t>
      </w:r>
    </w:p>
    <w:p>
      <w:pPr>
        <w:spacing w:after="0" w:line="138" w:lineRule="exact"/>
        <w:rPr>
          <w:sz w:val="20"/>
          <w:szCs w:val="20"/>
          <w:color w:val="auto"/>
        </w:rPr>
      </w:pPr>
    </w:p>
    <w:p>
      <w:pPr>
        <w:ind w:left="40" w:right="180" w:firstLine="268"/>
        <w:spacing w:after="0" w:line="271" w:lineRule="auto"/>
        <w:rPr>
          <w:sz w:val="20"/>
          <w:szCs w:val="20"/>
          <w:color w:val="auto"/>
        </w:rPr>
      </w:pPr>
      <w:r>
        <w:rPr>
          <w:rFonts w:ascii="Arial" w:cs="Arial" w:eastAsia="Arial" w:hAnsi="Arial"/>
          <w:sz w:val="17"/>
          <w:szCs w:val="17"/>
          <w:color w:val="auto"/>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the winter months and during severe weather conditions because work performed during these periods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w:t>
      </w:r>
    </w:p>
    <w:p>
      <w:pPr>
        <w:spacing w:after="0" w:line="200" w:lineRule="exact"/>
        <w:rPr>
          <w:sz w:val="20"/>
          <w:szCs w:val="20"/>
          <w:color w:val="auto"/>
        </w:rPr>
      </w:pPr>
    </w:p>
    <w:p>
      <w:pPr>
        <w:spacing w:after="0" w:line="31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76" w:lineRule="auto"/>
        <w:rPr>
          <w:sz w:val="20"/>
          <w:szCs w:val="20"/>
          <w:color w:val="auto"/>
        </w:rPr>
      </w:pPr>
      <w:r>
        <w:rPr>
          <w:rFonts w:ascii="Arial" w:cs="Arial" w:eastAsia="Arial" w:hAnsi="Arial"/>
          <w:sz w:val="17"/>
          <w:szCs w:val="17"/>
          <w:color w:val="auto"/>
        </w:rPr>
        <w:t>under a variety of conditions, including but not limited to, difficult terrain, difficult site conditions and large urban centers where delivery of materials and availability of labor may be impacted and sites which may have been exposed to harsh and hazardous conditions. Working capital needs are also influenced by the seasonality of our business. We generally experience a need for additional working capital during the spring when we increase outdoor construction in weather-affected regions of the country, and we convert working capital assets to cash during the winter months.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fail to execute or integrate acquisitions or joint ventures successfully.</w:t>
      </w:r>
    </w:p>
    <w:p>
      <w:pPr>
        <w:spacing w:after="0" w:line="115" w:lineRule="exact"/>
        <w:rPr>
          <w:sz w:val="20"/>
          <w:szCs w:val="20"/>
          <w:color w:val="auto"/>
        </w:rPr>
      </w:pPr>
    </w:p>
    <w:p>
      <w:pPr>
        <w:ind w:left="40" w:right="140" w:firstLine="268"/>
        <w:spacing w:after="0" w:line="256" w:lineRule="auto"/>
        <w:rPr>
          <w:sz w:val="20"/>
          <w:szCs w:val="20"/>
          <w:color w:val="auto"/>
        </w:rPr>
      </w:pPr>
      <w:r>
        <w:rPr>
          <w:rFonts w:ascii="Arial" w:cs="Arial" w:eastAsia="Arial" w:hAnsi="Arial"/>
          <w:sz w:val="18"/>
          <w:szCs w:val="18"/>
          <w:color w:val="auto"/>
        </w:rPr>
        <w:t>As part of our growth strategy, we may acquire companies or enter into joint ventures that expand, complement or diversify our business. The number of acquisition targets or joint venture opportunities that meet our criteria may be limited, and we may face competition for these opportunities. Acquisitions or joint ventures that we may pursue may also involve significant cash expenditures, the incurrence or assumption of debt or burdensome regulatory requirements.</w:t>
      </w:r>
    </w:p>
    <w:p>
      <w:pPr>
        <w:spacing w:after="0" w:line="83" w:lineRule="exact"/>
        <w:rPr>
          <w:sz w:val="20"/>
          <w:szCs w:val="20"/>
          <w:color w:val="auto"/>
        </w:rPr>
      </w:pPr>
    </w:p>
    <w:p>
      <w:pPr>
        <w:ind w:left="40" w:right="200" w:firstLine="268"/>
        <w:spacing w:after="0" w:line="254" w:lineRule="auto"/>
        <w:rPr>
          <w:sz w:val="20"/>
          <w:szCs w:val="20"/>
          <w:color w:val="auto"/>
        </w:rPr>
      </w:pPr>
      <w:r>
        <w:rPr>
          <w:rFonts w:ascii="Arial" w:cs="Arial" w:eastAsia="Arial" w:hAnsi="Arial"/>
          <w:sz w:val="18"/>
          <w:szCs w:val="18"/>
          <w:color w:val="auto"/>
        </w:rPr>
        <w:t>Future acquisitions or joint ventures may expose us to operational challenges and risks, including the diversion of management’s attention from our existing business, the failure to retain key personnel or customers of an acquired business, difficulties integrating the operations and personnel, failure of acquired companies to achieve the results we expect, the assumption of unknown liabilities of the acquired business for which there are inadequate reserves and the potential impairment of acquired intangible assets. Our ability to grow and maintain our competitive position may be affected by our ability to successfully integrate any businesses acquired.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Work stoppages or other labor issues with our unionized workforce could adversely affect our business.</w:t>
      </w:r>
    </w:p>
    <w:p>
      <w:pPr>
        <w:spacing w:after="0" w:line="115" w:lineRule="exact"/>
        <w:rPr>
          <w:sz w:val="20"/>
          <w:szCs w:val="20"/>
          <w:color w:val="auto"/>
        </w:rPr>
      </w:pPr>
    </w:p>
    <w:p>
      <w:pPr>
        <w:ind w:left="40" w:right="160" w:firstLine="268"/>
        <w:spacing w:after="0" w:line="308" w:lineRule="auto"/>
        <w:rPr>
          <w:sz w:val="20"/>
          <w:szCs w:val="20"/>
          <w:color w:val="auto"/>
        </w:rPr>
      </w:pPr>
      <w:r>
        <w:rPr>
          <w:rFonts w:ascii="Arial" w:cs="Arial" w:eastAsia="Arial" w:hAnsi="Arial"/>
          <w:sz w:val="16"/>
          <w:szCs w:val="16"/>
          <w:color w:val="auto"/>
        </w:rPr>
        <w:t>As of December 31, 2017, approximately 91% of our craft labor employees were covered by collective bargaining agreements. Although the majority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Multi-employer pension plan obligations related to our unionized workforce could adversely impact our earnings.</w:t>
      </w:r>
    </w:p>
    <w:p>
      <w:pPr>
        <w:spacing w:after="0" w:line="115" w:lineRule="exact"/>
        <w:rPr>
          <w:sz w:val="20"/>
          <w:szCs w:val="20"/>
          <w:color w:val="auto"/>
        </w:rPr>
      </w:pPr>
    </w:p>
    <w:p>
      <w:pPr>
        <w:ind w:left="40" w:right="160" w:firstLine="268"/>
        <w:spacing w:after="0" w:line="252" w:lineRule="auto"/>
        <w:rPr>
          <w:sz w:val="20"/>
          <w:szCs w:val="20"/>
          <w:color w:val="auto"/>
        </w:rPr>
      </w:pPr>
      <w:r>
        <w:rPr>
          <w:rFonts w:ascii="Arial" w:cs="Arial" w:eastAsia="Arial" w:hAnsi="Arial"/>
          <w:sz w:val="18"/>
          <w:szCs w:val="18"/>
          <w:color w:val="auto"/>
        </w:rPr>
        <w:t>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by the Consolidated and Further Continuing Appropriations Act of 2015 (the “PPA”) imposes additional funding and operational rules applicable to 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w:t>
      </w:r>
    </w:p>
    <w:p>
      <w:pPr>
        <w:spacing w:after="0" w:line="85" w:lineRule="exact"/>
        <w:rPr>
          <w:sz w:val="20"/>
          <w:szCs w:val="20"/>
          <w:color w:val="auto"/>
        </w:rPr>
      </w:pPr>
    </w:p>
    <w:p>
      <w:pPr>
        <w:ind w:left="40" w:right="280" w:firstLine="268"/>
        <w:spacing w:after="0" w:line="283" w:lineRule="auto"/>
        <w:rPr>
          <w:sz w:val="20"/>
          <w:szCs w:val="20"/>
          <w:color w:val="auto"/>
        </w:rPr>
      </w:pPr>
      <w:r>
        <w:rPr>
          <w:rFonts w:ascii="Arial" w:cs="Arial" w:eastAsia="Arial" w:hAnsi="Arial"/>
          <w:sz w:val="17"/>
          <w:szCs w:val="17"/>
          <w:color w:val="auto"/>
        </w:rPr>
        <w:t>We have been informed that several of the multi-employer pension plans to which our subsidiaries contribute have been classified as “critical” or “endangered” status as defined by the PPA. Although we are not currently aware of any potential significant liabilities to us as a result of these plans being classified as being in a “critical” or “endangered” status, our future financial results could be impacted by the amended funding rules.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have access in the future to sufficient funding to finance desired growth and operations.</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If we cannot secure funds in the future, including financing on acceptable terms, we may be unable to support our growth strategy or future operations. Our credit facility contains numerous covenants and requires us to meet and maintain certain financial ratios and other tests. General business and economic conditions may affect our ability to comply with these covenants or meet those financial ratios and other tests, which may limit our ability to borrow under the facility.</w:t>
      </w:r>
    </w:p>
    <w:p>
      <w:pPr>
        <w:spacing w:after="0" w:line="200" w:lineRule="exact"/>
        <w:rPr>
          <w:sz w:val="20"/>
          <w:szCs w:val="20"/>
          <w:color w:val="auto"/>
        </w:rPr>
      </w:pPr>
    </w:p>
    <w:p>
      <w:pPr>
        <w:spacing w:after="0" w:line="3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60" w:firstLine="268"/>
        <w:spacing w:after="0" w:line="260" w:lineRule="auto"/>
        <w:rPr>
          <w:sz w:val="20"/>
          <w:szCs w:val="20"/>
          <w:color w:val="auto"/>
        </w:rPr>
      </w:pPr>
      <w:r>
        <w:rPr>
          <w:rFonts w:ascii="Arial" w:cs="Arial" w:eastAsia="Arial" w:hAnsi="Arial"/>
          <w:sz w:val="18"/>
          <w:szCs w:val="18"/>
          <w:color w:val="auto"/>
        </w:rPr>
        <w:t>Restrictions in the availability of bank credit could cause us to forgo otherwise attractive business opportunities and could require us to modify our business plan. We will continue to closely monitor our liquidity and the overall condition of the financial markets; however, we can give no assurance that we will be able to obtain such financing either on favorable terms or at all in the future.</w:t>
      </w:r>
    </w:p>
    <w:p>
      <w:pPr>
        <w:spacing w:after="0" w:line="105" w:lineRule="exact"/>
        <w:rPr>
          <w:sz w:val="20"/>
          <w:szCs w:val="20"/>
          <w:color w:val="auto"/>
        </w:rPr>
      </w:pPr>
    </w:p>
    <w:p>
      <w:pPr>
        <w:ind w:left="40" w:right="120"/>
        <w:spacing w:after="0" w:line="272" w:lineRule="auto"/>
        <w:rPr>
          <w:sz w:val="20"/>
          <w:szCs w:val="20"/>
          <w:color w:val="auto"/>
        </w:rPr>
      </w:pPr>
      <w:r>
        <w:rPr>
          <w:rFonts w:ascii="Arial" w:cs="Arial" w:eastAsia="Arial" w:hAnsi="Arial"/>
          <w:sz w:val="18"/>
          <w:szCs w:val="18"/>
          <w:b w:val="1"/>
          <w:bCs w:val="1"/>
          <w:i w:val="1"/>
          <w:iCs w:val="1"/>
          <w:color w:val="auto"/>
        </w:rPr>
        <w:t>We, or our business partners, may be subject to failures, interruptions or breaches of information technology systems, which could affect our operations, competitive position, sensitive information or damage our reputation.</w:t>
      </w:r>
    </w:p>
    <w:p>
      <w:pPr>
        <w:spacing w:after="0" w:line="67"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We use our own information technology systems as well as our business partners’ systems to maintain certain data and provide reports. Furthermore, in connection with our business we collect and retain personally identifiable and other sensitive information of our customers, stockholders and employees,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results of operations and significant costs could be incurred to remediate the problem. Additionally, our security measures, and those of our business partners, may be compromised as a result of third-party security breaches, employee error, malfeasance, faulty password management, or other irregularity, and may result in persons obtaining unauthorized access to our customer, stockholder or employee data or accounts. While we devote significant resources to network security and other security measures to protect our systems and data, these security measures cannot provide absolute security. If a security breach affects our informational technology systems, or results in the unauthorized release of our proprietary or sensitive information, our competitive situation or our reputation could be damaged and could result in significant costs, fines and litigation.</w:t>
      </w:r>
    </w:p>
    <w:p>
      <w:pPr>
        <w:spacing w:after="0" w:line="101" w:lineRule="exact"/>
        <w:rPr>
          <w:sz w:val="20"/>
          <w:szCs w:val="20"/>
          <w:color w:val="auto"/>
        </w:rPr>
      </w:pPr>
    </w:p>
    <w:p>
      <w:pPr>
        <w:ind w:left="40" w:right="560"/>
        <w:spacing w:after="0" w:line="272" w:lineRule="auto"/>
        <w:rPr>
          <w:sz w:val="20"/>
          <w:szCs w:val="20"/>
          <w:color w:val="auto"/>
        </w:rPr>
      </w:pPr>
      <w:r>
        <w:rPr>
          <w:rFonts w:ascii="Arial" w:cs="Arial" w:eastAsia="Arial" w:hAnsi="Arial"/>
          <w:sz w:val="18"/>
          <w:szCs w:val="18"/>
          <w:b w:val="1"/>
          <w:bCs w:val="1"/>
          <w:i w:val="1"/>
          <w:iCs w:val="1"/>
          <w:color w:val="auto"/>
        </w:rPr>
        <w:t>Our stock has experienced significant price and volume fluctuations and future sales of our common stock could lead to dilution of our issued and outstanding common stock.</w:t>
      </w:r>
    </w:p>
    <w:p>
      <w:pPr>
        <w:spacing w:after="0" w:line="67" w:lineRule="exact"/>
        <w:rPr>
          <w:sz w:val="20"/>
          <w:szCs w:val="20"/>
          <w:color w:val="auto"/>
        </w:rPr>
      </w:pPr>
    </w:p>
    <w:p>
      <w:pPr>
        <w:ind w:left="40" w:firstLine="268"/>
        <w:spacing w:after="0" w:line="291" w:lineRule="auto"/>
        <w:rPr>
          <w:sz w:val="20"/>
          <w:szCs w:val="20"/>
          <w:color w:val="auto"/>
        </w:rPr>
      </w:pPr>
      <w:r>
        <w:rPr>
          <w:rFonts w:ascii="Arial" w:cs="Arial" w:eastAsia="Arial" w:hAnsi="Arial"/>
          <w:sz w:val="16"/>
          <w:szCs w:val="16"/>
          <w:color w:val="auto"/>
        </w:rPr>
        <w:t>From time to time, the price and trading volume of our common stock, as well as the stock of other companies in our industry, may experience periods of significant volatility in response to various factors and events beyond our control. Company-specific issues and developments generally in our industry (including the regulatory environment) and the capital markets and the economy in general may cause this volatility. We may issue equity securities in the future, including securities that are convertible into or exchangeable for, or that represent the right to receive, common stock. The issuance of additional shares of our common stock or other equity securities, including sales of shares in connection with any future acquisitions, could be substantially dilutive to our stockholders. In addition numerous factors could have a significant effect on the price of our common stock, including but not limited to:</w:t>
      </w:r>
    </w:p>
    <w:p>
      <w:pPr>
        <w:spacing w:after="0" w:line="56" w:lineRule="exact"/>
        <w:rPr>
          <w:sz w:val="20"/>
          <w:szCs w:val="20"/>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fluctuations in our operating results or the operating results of one of our competitors;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our customers’ industries;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spending plans of our significant customers;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one of our competitors of new or terminated customers or new, amended or terminated contracts;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acquisitions by us or one of our competitors;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recommendations or earnings estimates by securities analysts;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repurchases of our common stock; and</w:t>
      </w:r>
    </w:p>
    <w:p>
      <w:pPr>
        <w:spacing w:after="0" w:line="114" w:lineRule="exact"/>
        <w:rPr>
          <w:rFonts w:ascii="Arial" w:cs="Arial" w:eastAsia="Arial" w:hAnsi="Arial"/>
          <w:sz w:val="18"/>
          <w:szCs w:val="18"/>
          <w:color w:val="auto"/>
        </w:rPr>
      </w:pPr>
    </w:p>
    <w:p>
      <w:pPr>
        <w:ind w:left="600" w:right="180" w:hanging="326"/>
        <w:spacing w:after="0" w:line="27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including any shares issued in connection with business acquisitions or earn-out obligations for any future acquisitions.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operations are subject to a number of operational risks which may result in unexpected costs or liabilities.</w:t>
      </w:r>
    </w:p>
    <w:p>
      <w:pPr>
        <w:spacing w:after="0" w:line="115" w:lineRule="exact"/>
        <w:rPr>
          <w:sz w:val="20"/>
          <w:szCs w:val="20"/>
          <w:color w:val="auto"/>
        </w:rPr>
      </w:pPr>
    </w:p>
    <w:p>
      <w:pPr>
        <w:ind w:left="40" w:right="160" w:firstLine="268"/>
        <w:spacing w:after="0" w:line="272" w:lineRule="auto"/>
        <w:rPr>
          <w:sz w:val="20"/>
          <w:szCs w:val="20"/>
          <w:color w:val="auto"/>
        </w:rPr>
      </w:pPr>
      <w:r>
        <w:rPr>
          <w:rFonts w:ascii="Arial" w:cs="Arial" w:eastAsia="Arial" w:hAnsi="Arial"/>
          <w:sz w:val="18"/>
          <w:szCs w:val="18"/>
          <w:color w:val="auto"/>
        </w:rPr>
        <w:t>Unexpected costs or liabilities may arise from lawsuits or indemnity claims related to the services we perform or have performed in the past. We have in the past been, and may in the future be, named as a</w:t>
      </w:r>
    </w:p>
    <w:p>
      <w:pPr>
        <w:spacing w:after="0" w:line="200" w:lineRule="exact"/>
        <w:rPr>
          <w:sz w:val="20"/>
          <w:szCs w:val="20"/>
          <w:color w:val="auto"/>
        </w:rPr>
      </w:pP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80"/>
        <w:spacing w:after="0" w:line="269" w:lineRule="auto"/>
        <w:rPr>
          <w:sz w:val="20"/>
          <w:szCs w:val="20"/>
          <w:color w:val="auto"/>
        </w:rPr>
      </w:pPr>
      <w:r>
        <w:rPr>
          <w:rFonts w:ascii="Arial" w:cs="Arial" w:eastAsia="Arial" w:hAnsi="Arial"/>
          <w:sz w:val="17"/>
          <w:szCs w:val="17"/>
          <w:color w:val="auto"/>
        </w:rPr>
        <w:t>defendant in lawsuits, claims and other legal proceedings during the ordinary course of our business. These actions may seek, among other things, compensation for alleged personal injury, workers’ compensation, employment discrimination, breach of contract, property damage, environmental remediation, punitive damages, civil penalties or other losses, consequential damages or injunctive or declaratory relief. In addition, pursuant to our service arrangements, we generally indemnify our customers for claims related to the services we provide under those service arrangements. In some instances, our services are integral to the operation and performance of the electric distribution and transmission infrastructure. As a result, we may become subject to lawsuits or claims for any failure of the systems we work on, even if our services are not the cause for such failures. In addition, we may incur civil and criminal liabilities to the extent that our services contributed to any personal injury or property damage. The outcome of any of these lawsuits, claims or legal proceedings could result in significant costs and diversion of managements’ attention to the business.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Opportunities associated with government contracts could lead to increased governmental regulation applicable to us.</w:t>
      </w:r>
    </w:p>
    <w:p>
      <w:pPr>
        <w:spacing w:after="0" w:line="115" w:lineRule="exact"/>
        <w:rPr>
          <w:sz w:val="20"/>
          <w:szCs w:val="20"/>
          <w:color w:val="auto"/>
        </w:rPr>
      </w:pPr>
    </w:p>
    <w:p>
      <w:pPr>
        <w:ind w:left="40" w:right="100" w:firstLine="268"/>
        <w:spacing w:after="0" w:line="291" w:lineRule="auto"/>
        <w:rPr>
          <w:sz w:val="20"/>
          <w:szCs w:val="20"/>
          <w:color w:val="auto"/>
        </w:rPr>
      </w:pPr>
      <w:r>
        <w:rPr>
          <w:rFonts w:ascii="Arial" w:cs="Arial" w:eastAsia="Arial" w:hAnsi="Arial"/>
          <w:sz w:val="16"/>
          <w:szCs w:val="16"/>
          <w:color w:val="auto"/>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our interpretation of tax laws could impact the determination of our income tax liabilities for a tax year.</w:t>
      </w:r>
    </w:p>
    <w:p>
      <w:pPr>
        <w:spacing w:after="0" w:line="115"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color w:val="auto"/>
        </w:rPr>
        <w:t>We have operations in the United States and Canada and are subject to the jurisdiction of a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Changes in the operating environment, including changes in or interpretation of tax law, could impact the determination of our income tax liabilities for the year.</w:t>
      </w:r>
    </w:p>
    <w:p>
      <w:pPr>
        <w:spacing w:after="0" w:line="53" w:lineRule="exact"/>
        <w:rPr>
          <w:sz w:val="20"/>
          <w:szCs w:val="20"/>
          <w:color w:val="auto"/>
        </w:rPr>
      </w:pPr>
    </w:p>
    <w:p>
      <w:pPr>
        <w:ind w:left="40" w:right="20" w:firstLine="268"/>
        <w:spacing w:after="0" w:line="268" w:lineRule="auto"/>
        <w:rPr>
          <w:sz w:val="20"/>
          <w:szCs w:val="20"/>
          <w:color w:val="auto"/>
        </w:rPr>
      </w:pPr>
      <w:r>
        <w:rPr>
          <w:rFonts w:ascii="Arial" w:cs="Arial" w:eastAsia="Arial" w:hAnsi="Arial"/>
          <w:sz w:val="17"/>
          <w:szCs w:val="17"/>
          <w:color w:val="auto"/>
        </w:rPr>
        <w:t>Additionally, we are currently evaluating provisions of the United States Tax Cuts and Jobs Act (the “Tax Act”) enacted on December 22, 2017, which among other things, lowered the corporate income tax rate from 35% to 21% and moved the country towards a territorial tax system with a one-time mandatory tax on previously deferred foreign earnings of foreign subsidiaries. In the fourth quarter of 2017, we recorded a net income tax benefit of approximately $7.8 million related to our preliminary assessment of the net effects of the Tax Act. As we do not have all the necessary information to analyze all income tax effects of the Tax Act, this is a provisional amount which we believe represents a reasonable estimate of the accounting implications of the Tax Act. We will continue to evaluate the Tax Act and adjust the provisional amounts as additional information is obtained. The ultimate impact of the Tax Act may differ from our provisional amounts due to changes in our interpretations and assumptions, as well as additional regulatory guidance that may be issued. We expect to complete our detailed analysis no later than the fourth quarter of 2018. For further information, see Note 10 — Income Taxes to the consolidated Financial Statements.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operating in the Canadian market could restrict our ability to expand and harm our business and prospects.</w:t>
      </w:r>
    </w:p>
    <w:p>
      <w:pPr>
        <w:spacing w:after="0" w:line="115" w:lineRule="exact"/>
        <w:rPr>
          <w:sz w:val="20"/>
          <w:szCs w:val="20"/>
          <w:color w:val="auto"/>
        </w:rPr>
      </w:pPr>
    </w:p>
    <w:p>
      <w:pPr>
        <w:ind w:left="40" w:right="80" w:firstLine="268"/>
        <w:spacing w:after="0" w:line="283" w:lineRule="auto"/>
        <w:rPr>
          <w:sz w:val="20"/>
          <w:szCs w:val="20"/>
          <w:color w:val="auto"/>
        </w:rPr>
      </w:pPr>
      <w:r>
        <w:rPr>
          <w:rFonts w:ascii="Arial" w:cs="Arial" w:eastAsia="Arial" w:hAnsi="Arial"/>
          <w:sz w:val="17"/>
          <w:szCs w:val="17"/>
          <w:color w:val="auto"/>
        </w:rPr>
        <w:t>There are numerous inherent risks in conducting our business in a different country including, but not limited to, potential instability in markets, political, economic or social conditions, and difficult or additional legal and regulatory requirements applicable to our operations. Limits on our ability to repatriate earnings, exchange controls, and complex U.S. and Canadian laws and treaties could also adversely impact our</w:t>
      </w:r>
    </w:p>
    <w:p>
      <w:pPr>
        <w:spacing w:after="0" w:line="200" w:lineRule="exact"/>
        <w:rPr>
          <w:sz w:val="20"/>
          <w:szCs w:val="20"/>
          <w:color w:val="auto"/>
        </w:rPr>
      </w:pPr>
    </w:p>
    <w:p>
      <w:pPr>
        <w:spacing w:after="0" w:line="30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76" w:lineRule="auto"/>
        <w:rPr>
          <w:sz w:val="20"/>
          <w:szCs w:val="20"/>
          <w:color w:val="auto"/>
        </w:rPr>
      </w:pPr>
      <w:r>
        <w:rPr>
          <w:rFonts w:ascii="Arial" w:cs="Arial" w:eastAsia="Arial" w:hAnsi="Arial"/>
          <w:sz w:val="17"/>
          <w:szCs w:val="17"/>
          <w:color w:val="auto"/>
        </w:rPr>
        <w:t>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spacing w:after="0" w:line="93" w:lineRule="exact"/>
        <w:rPr>
          <w:sz w:val="20"/>
          <w:szCs w:val="20"/>
          <w:color w:val="auto"/>
        </w:rPr>
      </w:pPr>
    </w:p>
    <w:p>
      <w:pPr>
        <w:ind w:left="40" w:right="60"/>
        <w:spacing w:after="0" w:line="272" w:lineRule="auto"/>
        <w:rPr>
          <w:sz w:val="20"/>
          <w:szCs w:val="20"/>
          <w:color w:val="auto"/>
        </w:rPr>
      </w:pPr>
      <w:r>
        <w:rPr>
          <w:rFonts w:ascii="Arial" w:cs="Arial" w:eastAsia="Arial" w:hAnsi="Arial"/>
          <w:sz w:val="18"/>
          <w:szCs w:val="18"/>
          <w:b w:val="1"/>
          <w:bCs w:val="1"/>
          <w:i w:val="1"/>
          <w:iCs w:val="1"/>
          <w:color w:val="auto"/>
        </w:rPr>
        <w:t>Our failure to comply with the laws applicable to our Canadian activities, including the U.S. Foreign Corrupt Practices Act and similar anti-bribery laws, could have an adverse effect on us.</w:t>
      </w:r>
    </w:p>
    <w:p>
      <w:pPr>
        <w:spacing w:after="0" w:line="67" w:lineRule="exact"/>
        <w:rPr>
          <w:sz w:val="20"/>
          <w:szCs w:val="20"/>
          <w:color w:val="auto"/>
        </w:rPr>
      </w:pPr>
    </w:p>
    <w:p>
      <w:pPr>
        <w:ind w:left="40" w:right="120" w:firstLine="268"/>
        <w:spacing w:after="0" w:line="287" w:lineRule="auto"/>
        <w:rPr>
          <w:sz w:val="20"/>
          <w:szCs w:val="20"/>
          <w:color w:val="auto"/>
        </w:rPr>
      </w:pPr>
      <w:r>
        <w:rPr>
          <w:rFonts w:ascii="Arial" w:cs="Arial" w:eastAsia="Arial" w:hAnsi="Arial"/>
          <w:sz w:val="16"/>
          <w:szCs w:val="16"/>
          <w:color w:val="auto"/>
        </w:rPr>
        <w:t>The U.S. Foreign Corrupt Practices Act (“FCPA”) and similar anti-bribery laws in other jurisdictions prohibit U.S.-based companies and their intermediaries from making improper payments to foreign officials for the purpose of obtaining or retaining business. Our policies mandate compliance with all applicable anti-bribery laws. Although we have policies and procedures designed to ensure that we, our employees, our agents and others who work with us in foreign countries comply with the FCPA and other anti-bribery laws, there is no assurance that such policies or procedures will protect us against liability under the FCPA or other laws for actions taken by our agents, employees and intermediaries. If we are found to be liable for FCPA violations (either due to our own acts or inadvertence, or due to the acts or inadvertence of others), we could suffer from severe criminal or civil penalties or other sanctions, which could have a material adverse effect on our reputation, business, results of operations, financial condition or cash flows. In addition, detecting, investigating and resolving actual or alleged FCPA violations is expensive and could consume significant time and attention of our senior management.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The nature of our business exposes us to potential liability for warranty claims and faulty engineering, which may reduce our profitability.</w:t>
      </w:r>
    </w:p>
    <w:p>
      <w:pPr>
        <w:spacing w:after="0" w:line="126" w:lineRule="exact"/>
        <w:rPr>
          <w:sz w:val="20"/>
          <w:szCs w:val="20"/>
          <w:color w:val="auto"/>
        </w:rPr>
      </w:pPr>
    </w:p>
    <w:p>
      <w:pPr>
        <w:ind w:left="40" w:right="40" w:firstLine="268"/>
        <w:spacing w:after="0" w:line="286" w:lineRule="auto"/>
        <w:rPr>
          <w:sz w:val="20"/>
          <w:szCs w:val="20"/>
          <w:color w:val="auto"/>
        </w:rPr>
      </w:pPr>
      <w:r>
        <w:rPr>
          <w:rFonts w:ascii="Arial" w:cs="Arial" w:eastAsia="Arial" w:hAnsi="Arial"/>
          <w:sz w:val="16"/>
          <w:szCs w:val="16"/>
          <w:color w:val="auto"/>
        </w:rPr>
        <w:t>Under our contracts with customers, we typically provide a warranty for the services we provide, guaranteeing the work performed against defects in workmanship and material. As much of the work we perform is inspected by our customers for any defects in construction prior to acceptance of the project, the warranty claims that we have historically received have been minimal. Additionally, materials used in construction are often provided by the customer or are warranted against defects from the supplier. However, certain projects may have longer warranty periods and include facility performance warranties that may be broader than the warranties we generally provide. In these circumstances,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 While we generally require suppliers to provide us warranties that are consistent with those we provide to the customers, if any of these suppliers default on their warranty obligations to us, we may incur costs to repair or replace the defective materials for which we are not reimbursed. Costs incurred as a result of warranty claims could adversely affect our operating results, financial condition and cash flows.</w:t>
      </w:r>
    </w:p>
    <w:p>
      <w:pPr>
        <w:spacing w:after="0" w:line="61" w:lineRule="exact"/>
        <w:rPr>
          <w:sz w:val="20"/>
          <w:szCs w:val="20"/>
          <w:color w:val="auto"/>
        </w:rPr>
      </w:pPr>
    </w:p>
    <w:p>
      <w:pPr>
        <w:ind w:left="40" w:right="180" w:firstLine="268"/>
        <w:spacing w:after="0" w:line="286" w:lineRule="auto"/>
        <w:rPr>
          <w:sz w:val="20"/>
          <w:szCs w:val="20"/>
          <w:color w:val="auto"/>
        </w:rPr>
      </w:pPr>
      <w:r>
        <w:rPr>
          <w:rFonts w:ascii="Arial" w:cs="Arial" w:eastAsia="Arial" w:hAnsi="Arial"/>
          <w:sz w:val="16"/>
          <w:szCs w:val="16"/>
          <w:color w:val="auto"/>
        </w:rPr>
        <w:t>Our business involves professional judgments regarding the planning, design, development, construction, operations and management of electric power transmission and commercial construction. Because our projects are often technically complex, our failure to make judgments and recommendations in accordance with applicable professional standards, including engineering standards, could result in damages. While we do not generally accept liability for consequential damages, and although we have adopted a range of insurance, risk management and risk avoidance programs designed to reduce potential liabilities, a significantly adverse or catastrophic event at one of our project sites or completed projects resulting from the services we have performed could result in significant warranty, professional liability, or other claims against us as well as 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claim, either in part or in whole, if successful and of a material magnitude, could have a substantial impact on our business, financial condition, results of operations and cash flows.</w:t>
      </w:r>
    </w:p>
    <w:p>
      <w:pPr>
        <w:spacing w:after="0" w:line="200" w:lineRule="exact"/>
        <w:rPr>
          <w:sz w:val="20"/>
          <w:szCs w:val="20"/>
          <w:color w:val="auto"/>
        </w:rPr>
      </w:pPr>
    </w:p>
    <w:p>
      <w:pPr>
        <w:spacing w:after="0" w:line="30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3" w:lineRule="exact"/>
        <w:rPr>
          <w:sz w:val="20"/>
          <w:szCs w:val="20"/>
          <w:color w:val="auto"/>
        </w:rPr>
      </w:pPr>
    </w:p>
    <w:p>
      <w:pPr>
        <w:ind w:left="40" w:right="220"/>
        <w:spacing w:after="0" w:line="260" w:lineRule="auto"/>
        <w:rPr>
          <w:sz w:val="20"/>
          <w:szCs w:val="20"/>
          <w:color w:val="auto"/>
        </w:rPr>
      </w:pPr>
      <w:r>
        <w:rPr>
          <w:rFonts w:ascii="Arial" w:cs="Arial" w:eastAsia="Arial" w:hAnsi="Arial"/>
          <w:sz w:val="18"/>
          <w:szCs w:val="18"/>
          <w:b w:val="1"/>
          <w:bCs w:val="1"/>
          <w:i w:val="1"/>
          <w:iCs w:val="1"/>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78"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seek to identify data errors, control problems and to confirm that appropriate corrective actions, including process improvements, are being undertaken.</w:t>
      </w:r>
    </w:p>
    <w:p>
      <w:pPr>
        <w:spacing w:after="0" w:line="83"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The design of our system of controls is based in part upon certain assumptions about the likelihood of future events, and there can be no assurance that any design will succeed absolutely in achieving our stated goals under all potential future or unforeseeable conditions. We may discover in the future that we have deficiencies in the design and operation of our internal controls. If any deficiency in our internal controls, either by itself or in combination with other deficiencies, becomes a “material weakness”, such that there is a reasonable possibility that a material misstatement of the annual or interim financial statements will not be prevented or detected on a timely basis, we may be unable to conclude that we have effective internal control over financial reporting. In such event, investors could lose confidence in the reliability of our financial statements, which may significantly harm our business and cause our stock price to decline.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 increase in the prices of certain materials and commodities used in our business could adversely affect our business.</w:t>
      </w:r>
    </w:p>
    <w:p>
      <w:pPr>
        <w:spacing w:after="0" w:line="115" w:lineRule="exact"/>
        <w:rPr>
          <w:sz w:val="20"/>
          <w:szCs w:val="20"/>
          <w:color w:val="auto"/>
        </w:rPr>
      </w:pPr>
    </w:p>
    <w:p>
      <w:pPr>
        <w:ind w:left="40" w:right="160" w:firstLine="268"/>
        <w:spacing w:after="0" w:line="273" w:lineRule="auto"/>
        <w:rPr>
          <w:sz w:val="20"/>
          <w:szCs w:val="20"/>
          <w:color w:val="auto"/>
        </w:rPr>
      </w:pPr>
      <w:r>
        <w:rPr>
          <w:rFonts w:ascii="Arial" w:cs="Arial" w:eastAsia="Arial" w:hAnsi="Arial"/>
          <w:sz w:val="17"/>
          <w:szCs w:val="17"/>
          <w:color w:val="auto"/>
        </w:rPr>
        <w:t>For certain contracts, we are exposed to market risk of increases in certain commodity prices of materials, such as copper and steel, which are used as components of supplies or materials utilized in all of our operations. We are also exposed to increases in energy prices, particularly as they relate to gasoline prices for our fleet vehicles. While we believe we can increase our prices to adjust for some price increases in commodities, there can be no assurance that price increases of commodities, if they were to occur, would be recoverable. Additionally, some of our fixed price contracts do not allow us to adjust our prices and, as a result, increases in material or fuel costs could reduce our profitability with respect to such projects.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26" w:lineRule="exact"/>
        <w:rPr>
          <w:sz w:val="20"/>
          <w:szCs w:val="20"/>
          <w:color w:val="auto"/>
        </w:rPr>
      </w:pPr>
    </w:p>
    <w:p>
      <w:pPr>
        <w:jc w:val="both"/>
        <w:ind w:left="40" w:firstLine="268"/>
        <w:spacing w:after="0" w:line="260"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If interest rates increase, our debt service obligations on our variable rate indebtedness will increase even if the amount borrowed remains the same, and our net income and cash flows, including cash available for servicing our indebtedness, will correspondingly decrease.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Certain provisions in our organizational documents and Delaware law could delay or prevent a change in control of our company.</w:t>
      </w:r>
    </w:p>
    <w:p>
      <w:pPr>
        <w:spacing w:after="0" w:line="115" w:lineRule="exact"/>
        <w:rPr>
          <w:sz w:val="20"/>
          <w:szCs w:val="20"/>
          <w:color w:val="auto"/>
        </w:rPr>
      </w:pPr>
    </w:p>
    <w:p>
      <w:pPr>
        <w:ind w:left="40" w:right="60" w:firstLine="268"/>
        <w:spacing w:after="0" w:line="271" w:lineRule="auto"/>
        <w:rPr>
          <w:sz w:val="20"/>
          <w:szCs w:val="20"/>
          <w:color w:val="auto"/>
        </w:rPr>
      </w:pPr>
      <w:r>
        <w:rPr>
          <w:rFonts w:ascii="Arial" w:cs="Arial" w:eastAsia="Arial" w:hAnsi="Arial"/>
          <w:sz w:val="17"/>
          <w:szCs w:val="17"/>
          <w:color w:val="auto"/>
        </w:rPr>
        <w:t>The existence of certain provisions in our organizational documents and Delaware law could delay or prevent an unsolicited change in control of our company, even if a change of control might be beneficial to our shareholders. For example, provisions in our certificate of incorporation and by-laws that could delay or prevent a change in control of our company include: a staggered board of directors, the potential of our board of directors to authorize the issuance of preferred stock, the power of a majority of our board of directors to fix the number of directors, the power of our board of directors to fill a vacancy on the board of directors, including when such vacancy occurs as a result of an increase in the number of directors, the requirement that actions to be taken by our stockholders may be taken only at an annual or special meeting of our stockholders</w:t>
      </w:r>
    </w:p>
    <w:p>
      <w:pPr>
        <w:spacing w:after="0" w:line="200" w:lineRule="exact"/>
        <w:rPr>
          <w:sz w:val="20"/>
          <w:szCs w:val="20"/>
          <w:color w:val="auto"/>
        </w:rPr>
      </w:pPr>
    </w:p>
    <w:p>
      <w:pPr>
        <w:spacing w:after="0" w:line="32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60"/>
        <w:spacing w:after="0" w:line="298" w:lineRule="auto"/>
        <w:rPr>
          <w:sz w:val="20"/>
          <w:szCs w:val="20"/>
          <w:color w:val="auto"/>
        </w:rPr>
      </w:pPr>
      <w:r>
        <w:rPr>
          <w:rFonts w:ascii="Arial" w:cs="Arial" w:eastAsia="Arial" w:hAnsi="Arial"/>
          <w:sz w:val="16"/>
          <w:szCs w:val="16"/>
          <w:color w:val="auto"/>
        </w:rPr>
        <w:t>and not by written consent, and advance notice provisions for director nominations or business to be considered at a stockholder meeting. In addition, Delaware law imposes restrictions on mergers and other business combinations between us and an interested stockholder (defined as the holder of 15% or more of our outstanding common stock), and prohibits us from engaging in any of a broad range of business transactions with an interested stockholder, or an interested stockholder’s affiliates and associates, for a period of three years following the date such stockholder became an interested stockholder.</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subject to risks associated with climate change.</w:t>
      </w:r>
    </w:p>
    <w:p>
      <w:pPr>
        <w:spacing w:after="0" w:line="115" w:lineRule="exact"/>
        <w:rPr>
          <w:sz w:val="20"/>
          <w:szCs w:val="20"/>
          <w:color w:val="auto"/>
        </w:rPr>
      </w:pPr>
    </w:p>
    <w:p>
      <w:pPr>
        <w:ind w:left="40" w:right="220" w:firstLine="268"/>
        <w:spacing w:after="0" w:line="283" w:lineRule="auto"/>
        <w:rPr>
          <w:sz w:val="20"/>
          <w:szCs w:val="20"/>
          <w:color w:val="auto"/>
        </w:rPr>
      </w:pPr>
      <w:r>
        <w:rPr>
          <w:rFonts w:ascii="Arial" w:cs="Arial" w:eastAsia="Arial" w:hAnsi="Arial"/>
          <w:sz w:val="17"/>
          <w:szCs w:val="17"/>
          <w:color w:val="auto"/>
        </w:rPr>
        <w:t>Climate change may create physical and financial risk. Physical risks from climate change could, among other things, include an increase in extreme weather events (such as floods or hurricanes), rising sea levels and limitations on water availability and quality. Such extreme weather conditions may limit the availability of resources, increasing the costs of our projects, or may cause projects to be delayed or cancelled.</w:t>
      </w:r>
    </w:p>
    <w:p>
      <w:pPr>
        <w:spacing w:after="0" w:line="60" w:lineRule="exact"/>
        <w:rPr>
          <w:sz w:val="20"/>
          <w:szCs w:val="20"/>
          <w:color w:val="auto"/>
        </w:rPr>
      </w:pPr>
    </w:p>
    <w:p>
      <w:pPr>
        <w:ind w:left="40" w:right="20" w:firstLine="268"/>
        <w:spacing w:after="0" w:line="254" w:lineRule="auto"/>
        <w:rPr>
          <w:sz w:val="20"/>
          <w:szCs w:val="20"/>
          <w:color w:val="auto"/>
        </w:rPr>
      </w:pPr>
      <w:r>
        <w:rPr>
          <w:rFonts w:ascii="Arial" w:cs="Arial" w:eastAsia="Arial" w:hAnsi="Arial"/>
          <w:sz w:val="18"/>
          <w:szCs w:val="18"/>
          <w:color w:val="auto"/>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 future governmental regulations. Compliance with any new laws or regulations regarding the reduction of greenhouse gases could result in significant changes to our operations and a significant increase in our cost of conducting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9" w:lineRule="exact"/>
        <w:rPr>
          <w:sz w:val="20"/>
          <w:szCs w:val="20"/>
          <w:color w:val="auto"/>
        </w:rPr>
      </w:pPr>
    </w:p>
    <w:p>
      <w:pPr>
        <w:ind w:left="40" w:right="60" w:firstLine="268"/>
        <w:spacing w:after="0" w:line="253" w:lineRule="auto"/>
        <w:rPr>
          <w:sz w:val="20"/>
          <w:szCs w:val="20"/>
          <w:color w:val="auto"/>
        </w:rPr>
      </w:pPr>
      <w:r>
        <w:rPr>
          <w:rFonts w:ascii="Arial" w:cs="Arial" w:eastAsia="Arial" w:hAnsi="Arial"/>
          <w:sz w:val="18"/>
          <w:szCs w:val="18"/>
          <w:color w:val="auto"/>
        </w:rPr>
        <w:t>Our principal executive offices are located at 1701 Golf Road, Suite 3-1012, Rolling Meadows, Illinois 60008, the lease term of which expires on January 31, 2020. In addition to our executive offices, our corporate accounting and finance departments, corporate information technology department and certain legal and other personnel are located at this office. As of December 31, 2017, we owned 15 operating facilities and leased many other properties in various locations throughout our service territory. Most of our properties are used as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9" w:lineRule="exact"/>
        <w:rPr>
          <w:sz w:val="20"/>
          <w:szCs w:val="20"/>
          <w:color w:val="auto"/>
        </w:rPr>
      </w:pPr>
    </w:p>
    <w:p>
      <w:pPr>
        <w:ind w:left="40" w:right="140" w:firstLine="268"/>
        <w:spacing w:after="0" w:line="294" w:lineRule="auto"/>
        <w:rPr>
          <w:sz w:val="20"/>
          <w:szCs w:val="20"/>
          <w:color w:val="auto"/>
        </w:rPr>
      </w:pPr>
      <w:r>
        <w:rPr>
          <w:rFonts w:ascii="Arial" w:cs="Arial" w:eastAsia="Arial" w:hAnsi="Arial"/>
          <w:sz w:val="16"/>
          <w:szCs w:val="16"/>
          <w:color w:val="auto"/>
        </w:rPr>
        <w:t>We are, from time-to-time, party to various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the aggregate, would be expected to have a material adverse effect on our financial position, results of operations, or cash flows.</w:t>
      </w:r>
    </w:p>
    <w:p>
      <w:pPr>
        <w:spacing w:after="0" w:line="53"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and asbestos-related claims concerning operations of a divested subsidiary of our predecessor. We believe that we have strong defenses to these claims as well as insurance coverage that will contribute to any settlement or liability in the event any asbestos-related claim is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9" w:name="page30"/>
    <w:bookmarkEnd w:id="2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par value $0.01, is listed on The NASDAQ Global Market under the symbol “MYRG.”</w:t>
      </w:r>
    </w:p>
    <w:p>
      <w:pPr>
        <w:spacing w:after="0" w:line="115" w:lineRule="exact"/>
        <w:rPr>
          <w:sz w:val="20"/>
          <w:szCs w:val="20"/>
          <w:color w:val="auto"/>
        </w:rPr>
      </w:pPr>
    </w:p>
    <w:p>
      <w:pPr>
        <w:ind w:left="60" w:right="200" w:firstLine="268"/>
        <w:spacing w:after="0" w:line="272" w:lineRule="auto"/>
        <w:rPr>
          <w:sz w:val="20"/>
          <w:szCs w:val="20"/>
          <w:color w:val="auto"/>
        </w:rPr>
      </w:pPr>
      <w:r>
        <w:rPr>
          <w:rFonts w:ascii="Arial" w:cs="Arial" w:eastAsia="Arial" w:hAnsi="Arial"/>
          <w:sz w:val="18"/>
          <w:szCs w:val="18"/>
          <w:color w:val="auto"/>
        </w:rPr>
        <w:t>The following table sets forth the high and low sales prices of our common stock per share, as reported by The NASDAQ Global Market for each of the periods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449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49320" cy="8255"/>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9525</wp:posOffset>
            </wp:positionV>
            <wp:extent cx="12858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Low</w:t>
            </w: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68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43.77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35.89</w:t>
            </w:r>
          </w:p>
        </w:tc>
      </w:tr>
      <w:tr>
        <w:trPr>
          <w:trHeight w:val="215"/>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43.49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27.83</w:t>
            </w:r>
          </w:p>
        </w:tc>
      </w:tr>
      <w:tr>
        <w:trPr>
          <w:trHeight w:val="215"/>
        </w:trPr>
        <w:tc>
          <w:tcPr>
            <w:tcW w:w="86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32.26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23.00</w:t>
            </w:r>
          </w:p>
        </w:tc>
      </w:tr>
      <w:tr>
        <w:trPr>
          <w:trHeight w:val="215"/>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37.62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29.05</w:t>
            </w:r>
          </w:p>
        </w:tc>
      </w:tr>
      <w:tr>
        <w:trPr>
          <w:trHeight w:val="215"/>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17.77</w:t>
            </w:r>
          </w:p>
        </w:tc>
      </w:tr>
      <w:tr>
        <w:trPr>
          <w:trHeight w:val="215"/>
        </w:trPr>
        <w:tc>
          <w:tcPr>
            <w:tcW w:w="868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26.70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22.59</w:t>
            </w:r>
          </w:p>
        </w:tc>
      </w:tr>
      <w:tr>
        <w:trPr>
          <w:trHeight w:val="215"/>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30.38</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21.84</w:t>
            </w:r>
          </w:p>
        </w:tc>
      </w:tr>
      <w:tr>
        <w:trPr>
          <w:trHeight w:val="227"/>
        </w:trPr>
        <w:tc>
          <w:tcPr>
            <w:tcW w:w="868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41.43</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28.34</w:t>
            </w: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Holders of Record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7, 2018, we had 14 holders of record of our common stock.</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 Policy</w:t>
      </w:r>
    </w:p>
    <w:p>
      <w:pPr>
        <w:spacing w:after="0" w:line="115" w:lineRule="exact"/>
        <w:rPr>
          <w:sz w:val="20"/>
          <w:szCs w:val="20"/>
          <w:color w:val="auto"/>
        </w:rPr>
      </w:pPr>
    </w:p>
    <w:p>
      <w:pPr>
        <w:ind w:left="60" w:right="400" w:firstLine="268"/>
        <w:spacing w:after="0" w:line="298" w:lineRule="auto"/>
        <w:rPr>
          <w:sz w:val="20"/>
          <w:szCs w:val="20"/>
          <w:color w:val="auto"/>
        </w:rPr>
      </w:pPr>
      <w:r>
        <w:rPr>
          <w:rFonts w:ascii="Arial" w:cs="Arial" w:eastAsia="Arial" w:hAnsi="Arial"/>
          <w:sz w:val="16"/>
          <w:szCs w:val="16"/>
          <w:color w:val="auto"/>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Purchases of Common Stock.</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purchase any shares of common stock in October, November or December of 2017.</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Performance Graph</w:t>
      </w:r>
    </w:p>
    <w:p>
      <w:pPr>
        <w:spacing w:after="0" w:line="115" w:lineRule="exact"/>
        <w:rPr>
          <w:sz w:val="20"/>
          <w:szCs w:val="20"/>
          <w:color w:val="auto"/>
        </w:rPr>
      </w:pPr>
    </w:p>
    <w:p>
      <w:pPr>
        <w:ind w:left="60" w:right="140" w:firstLine="268"/>
        <w:spacing w:after="0" w:line="260" w:lineRule="auto"/>
        <w:rPr>
          <w:sz w:val="20"/>
          <w:szCs w:val="20"/>
          <w:color w:val="auto"/>
        </w:rPr>
      </w:pPr>
      <w:r>
        <w:rPr>
          <w:rFonts w:ascii="Arial" w:cs="Arial" w:eastAsia="Arial" w:hAnsi="Arial"/>
          <w:sz w:val="18"/>
          <w:szCs w:val="18"/>
          <w:i w:val="1"/>
          <w:iCs w:val="1"/>
          <w:color w:val="auto"/>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Arial" w:cs="Arial" w:eastAsia="Arial" w:hAnsi="Arial"/>
          <w:sz w:val="18"/>
          <w:szCs w:val="18"/>
          <w:color w:val="auto"/>
        </w:rPr>
        <w:t>.</w:t>
      </w:r>
    </w:p>
    <w:p>
      <w:pPr>
        <w:spacing w:after="0" w:line="78" w:lineRule="exact"/>
        <w:rPr>
          <w:sz w:val="20"/>
          <w:szCs w:val="20"/>
          <w:color w:val="auto"/>
        </w:rPr>
      </w:pPr>
    </w:p>
    <w:p>
      <w:pPr>
        <w:ind w:left="60" w:firstLine="268"/>
        <w:spacing w:after="0" w:line="254" w:lineRule="auto"/>
        <w:rPr>
          <w:sz w:val="20"/>
          <w:szCs w:val="20"/>
          <w:color w:val="auto"/>
        </w:rPr>
      </w:pPr>
      <w:r>
        <w:rPr>
          <w:rFonts w:ascii="Arial" w:cs="Arial" w:eastAsia="Arial" w:hAnsi="Arial"/>
          <w:sz w:val="18"/>
          <w:szCs w:val="18"/>
          <w:color w:val="auto"/>
        </w:rPr>
        <w:t>The following graph compares, for the period from December 31, 2012 to December 31, 2017, the cumulative total stockholder return on our common stock with the cumulative total return on the Standard &amp; Poor’s 500 Index (the “S&amp;P 500 Index”), the Russell 2000 Index, and a peer group index selected by our management that includes fourteen publicly traded companies within our industry (the “Peer Group”). The comparison assumes that $100 was invested on December 31, 2012 and further assumes any dividends were reinvested quarterly. The stock price performance reflected on the following graph is not necessarily indicative of future stock price performance.</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30" w:name="page31"/>
    <w:bookmarkEnd w:id="3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jc w:val="both"/>
        <w:ind w:left="180" w:right="140" w:firstLine="268"/>
        <w:spacing w:after="0" w:line="308" w:lineRule="auto"/>
        <w:rPr>
          <w:sz w:val="20"/>
          <w:szCs w:val="20"/>
          <w:color w:val="auto"/>
        </w:rPr>
      </w:pPr>
      <w:r>
        <w:rPr>
          <w:rFonts w:ascii="Arial" w:cs="Arial" w:eastAsia="Arial" w:hAnsi="Arial"/>
          <w:sz w:val="16"/>
          <w:szCs w:val="16"/>
          <w:color w:val="auto"/>
        </w:rPr>
        <w:t>The companies in the Peer Group were selected because they comprise a broad group of publicly traded companies, each of which has some operations similar to ours. When taken as a whole, the Peer Group more closely resembles our total business than any individual company in the group while reducing the impact of a significant change in any one of the Peer Group company’s stock price. The Peer Group is composed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-5715</wp:posOffset>
            </wp:positionV>
            <wp:extent cx="6362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62065" cy="8255"/>
                    </a:xfrm>
                    <a:prstGeom prst="rect">
                      <a:avLst/>
                    </a:prstGeom>
                    <a:noFill/>
                  </pic:spPr>
                </pic:pic>
              </a:graphicData>
            </a:graphic>
          </wp:anchor>
        </w:drawing>
      </w:r>
    </w:p>
    <w:p>
      <w:pPr>
        <w:spacing w:after="0" w:line="76"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Aegion Corporation</w:t>
            </w:r>
          </w:p>
        </w:tc>
        <w:tc>
          <w:tcPr>
            <w:tcW w:w="3940" w:type="dxa"/>
            <w:vAlign w:val="bottom"/>
          </w:tcPr>
          <w:p>
            <w:pPr>
              <w:ind w:left="900"/>
              <w:spacing w:after="0"/>
              <w:rPr>
                <w:sz w:val="20"/>
                <w:szCs w:val="20"/>
                <w:color w:val="auto"/>
              </w:rPr>
            </w:pPr>
            <w:r>
              <w:rPr>
                <w:rFonts w:ascii="Arial" w:cs="Arial" w:eastAsia="Arial" w:hAnsi="Arial"/>
                <w:sz w:val="18"/>
                <w:szCs w:val="18"/>
                <w:color w:val="auto"/>
              </w:rPr>
              <w:t>Granite Construction Incorporated</w:t>
            </w:r>
          </w:p>
        </w:tc>
        <w:tc>
          <w:tcPr>
            <w:tcW w:w="2200" w:type="dxa"/>
            <w:vAlign w:val="bottom"/>
          </w:tcPr>
          <w:p>
            <w:pPr>
              <w:ind w:left="580"/>
              <w:spacing w:after="0"/>
              <w:rPr>
                <w:sz w:val="20"/>
                <w:szCs w:val="20"/>
                <w:color w:val="auto"/>
              </w:rPr>
            </w:pPr>
            <w:r>
              <w:rPr>
                <w:rFonts w:ascii="Arial" w:cs="Arial" w:eastAsia="Arial" w:hAnsi="Arial"/>
                <w:sz w:val="18"/>
                <w:szCs w:val="18"/>
                <w:color w:val="auto"/>
                <w:w w:val="89"/>
              </w:rPr>
              <w:t>Quanta Services, Inc.*</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Astec Industries, Inc.</w:t>
            </w:r>
          </w:p>
        </w:tc>
        <w:tc>
          <w:tcPr>
            <w:tcW w:w="3940" w:type="dxa"/>
            <w:vAlign w:val="bottom"/>
          </w:tcPr>
          <w:p>
            <w:pPr>
              <w:ind w:left="900"/>
              <w:spacing w:after="0"/>
              <w:rPr>
                <w:sz w:val="20"/>
                <w:szCs w:val="20"/>
                <w:color w:val="auto"/>
              </w:rPr>
            </w:pPr>
            <w:r>
              <w:rPr>
                <w:rFonts w:ascii="Arial" w:cs="Arial" w:eastAsia="Arial" w:hAnsi="Arial"/>
                <w:sz w:val="18"/>
                <w:szCs w:val="18"/>
                <w:color w:val="auto"/>
              </w:rPr>
              <w:t>IES Holdings, Inc.</w:t>
            </w:r>
          </w:p>
        </w:tc>
        <w:tc>
          <w:tcPr>
            <w:tcW w:w="2200" w:type="dxa"/>
            <w:vAlign w:val="bottom"/>
          </w:tcPr>
          <w:p>
            <w:pPr>
              <w:ind w:left="580"/>
              <w:spacing w:after="0"/>
              <w:rPr>
                <w:sz w:val="20"/>
                <w:szCs w:val="20"/>
                <w:color w:val="auto"/>
              </w:rPr>
            </w:pPr>
            <w:r>
              <w:rPr>
                <w:rFonts w:ascii="Arial" w:cs="Arial" w:eastAsia="Arial" w:hAnsi="Arial"/>
                <w:sz w:val="18"/>
                <w:szCs w:val="18"/>
                <w:color w:val="auto"/>
              </w:rPr>
              <w:t>Tetra Tech, Inc.</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Comfort Systems USA, Inc.</w:t>
            </w:r>
          </w:p>
        </w:tc>
        <w:tc>
          <w:tcPr>
            <w:tcW w:w="3940" w:type="dxa"/>
            <w:vAlign w:val="bottom"/>
          </w:tcPr>
          <w:p>
            <w:pPr>
              <w:ind w:left="900"/>
              <w:spacing w:after="0"/>
              <w:rPr>
                <w:sz w:val="20"/>
                <w:szCs w:val="20"/>
                <w:color w:val="auto"/>
              </w:rPr>
            </w:pPr>
            <w:r>
              <w:rPr>
                <w:rFonts w:ascii="Arial" w:cs="Arial" w:eastAsia="Arial" w:hAnsi="Arial"/>
                <w:sz w:val="18"/>
                <w:szCs w:val="18"/>
                <w:color w:val="auto"/>
              </w:rPr>
              <w:t>MasTec, Inc.*</w:t>
            </w:r>
          </w:p>
        </w:tc>
        <w:tc>
          <w:tcPr>
            <w:tcW w:w="2200" w:type="dxa"/>
            <w:vAlign w:val="bottom"/>
          </w:tcPr>
          <w:p>
            <w:pPr>
              <w:ind w:left="580"/>
              <w:spacing w:after="0"/>
              <w:rPr>
                <w:sz w:val="20"/>
                <w:szCs w:val="20"/>
                <w:color w:val="auto"/>
              </w:rPr>
            </w:pPr>
            <w:r>
              <w:rPr>
                <w:rFonts w:ascii="Arial" w:cs="Arial" w:eastAsia="Arial" w:hAnsi="Arial"/>
                <w:sz w:val="18"/>
                <w:szCs w:val="18"/>
                <w:color w:val="auto"/>
                <w:w w:val="92"/>
              </w:rPr>
              <w:t>TRC Companies, Inc.</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Dycom Industries, Inc.</w:t>
            </w:r>
          </w:p>
        </w:tc>
        <w:tc>
          <w:tcPr>
            <w:tcW w:w="3940" w:type="dxa"/>
            <w:vAlign w:val="bottom"/>
          </w:tcPr>
          <w:p>
            <w:pPr>
              <w:ind w:left="900"/>
              <w:spacing w:after="0"/>
              <w:rPr>
                <w:sz w:val="20"/>
                <w:szCs w:val="20"/>
                <w:color w:val="auto"/>
              </w:rPr>
            </w:pPr>
            <w:r>
              <w:rPr>
                <w:rFonts w:ascii="Arial" w:cs="Arial" w:eastAsia="Arial" w:hAnsi="Arial"/>
                <w:sz w:val="18"/>
                <w:szCs w:val="18"/>
                <w:color w:val="auto"/>
              </w:rPr>
              <w:t>Matrix Service Company</w:t>
            </w:r>
          </w:p>
        </w:tc>
        <w:tc>
          <w:tcPr>
            <w:tcW w:w="2200" w:type="dxa"/>
            <w:vAlign w:val="bottom"/>
          </w:tcPr>
          <w:p>
            <w:pPr>
              <w:ind w:left="580"/>
              <w:spacing w:after="0"/>
              <w:rPr>
                <w:sz w:val="20"/>
                <w:szCs w:val="20"/>
                <w:color w:val="auto"/>
              </w:rPr>
            </w:pPr>
            <w:r>
              <w:rPr>
                <w:rFonts w:ascii="Arial" w:cs="Arial" w:eastAsia="Arial" w:hAnsi="Arial"/>
                <w:sz w:val="18"/>
                <w:szCs w:val="18"/>
                <w:color w:val="auto"/>
                <w:w w:val="96"/>
              </w:rPr>
              <w:t>Willbros Group, Inc.*</w:t>
            </w:r>
          </w:p>
        </w:tc>
      </w:tr>
      <w:tr>
        <w:trPr>
          <w:trHeight w:val="227"/>
        </w:trPr>
        <w:tc>
          <w:tcPr>
            <w:tcW w:w="2880" w:type="dxa"/>
            <w:vAlign w:val="bottom"/>
          </w:tcPr>
          <w:p>
            <w:pPr>
              <w:spacing w:after="0"/>
              <w:rPr>
                <w:sz w:val="20"/>
                <w:szCs w:val="20"/>
                <w:color w:val="auto"/>
              </w:rPr>
            </w:pPr>
            <w:r>
              <w:rPr>
                <w:rFonts w:ascii="Arial" w:cs="Arial" w:eastAsia="Arial" w:hAnsi="Arial"/>
                <w:sz w:val="18"/>
                <w:szCs w:val="18"/>
                <w:color w:val="auto"/>
              </w:rPr>
              <w:t>EMCOR Group*</w:t>
            </w:r>
          </w:p>
        </w:tc>
        <w:tc>
          <w:tcPr>
            <w:tcW w:w="3940" w:type="dxa"/>
            <w:vAlign w:val="bottom"/>
          </w:tcPr>
          <w:p>
            <w:pPr>
              <w:ind w:left="900"/>
              <w:spacing w:after="0"/>
              <w:rPr>
                <w:sz w:val="20"/>
                <w:szCs w:val="20"/>
                <w:color w:val="auto"/>
              </w:rPr>
            </w:pPr>
            <w:r>
              <w:rPr>
                <w:rFonts w:ascii="Arial" w:cs="Arial" w:eastAsia="Arial" w:hAnsi="Arial"/>
                <w:sz w:val="18"/>
                <w:szCs w:val="18"/>
                <w:color w:val="auto"/>
              </w:rPr>
              <w:t>Primoris Services Corporation</w:t>
            </w: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171450</wp:posOffset>
            </wp:positionV>
            <wp:extent cx="613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20" w:right="140" w:hanging="274"/>
        <w:spacing w:after="0" w:line="272"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Considered our core group of peers with a more significant portion of operations being similar to ours than the overall group. Graph presents entire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52070</wp:posOffset>
            </wp:positionV>
            <wp:extent cx="6727825" cy="3789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27825" cy="378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12/31/2012</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12/31/2013</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12/31/2014</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12/31/2015</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12/31/2016</w:t>
            </w: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12/31/2017</w:t>
            </w:r>
          </w:p>
        </w:tc>
        <w:tc>
          <w:tcPr>
            <w:tcW w:w="240" w:type="dxa"/>
            <w:vAlign w:val="bottom"/>
          </w:tcPr>
          <w:p>
            <w:pPr>
              <w:spacing w:after="0"/>
              <w:rPr>
                <w:sz w:val="14"/>
                <w:szCs w:val="14"/>
                <w:color w:val="auto"/>
              </w:rPr>
            </w:pPr>
          </w:p>
        </w:tc>
      </w:tr>
      <w:tr>
        <w:trPr>
          <w:trHeight w:val="208"/>
        </w:trPr>
        <w:tc>
          <w:tcPr>
            <w:tcW w:w="120" w:type="dxa"/>
            <w:vAlign w:val="bottom"/>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MYR Group Inc.</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112.72</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123.15</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92.63</w:t>
            </w:r>
          </w:p>
        </w:tc>
        <w:tc>
          <w:tcPr>
            <w:tcW w:w="142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169.35</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160.58</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S&amp;P 500</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69"/>
              <w:spacing w:after="0"/>
              <w:rPr>
                <w:sz w:val="20"/>
                <w:szCs w:val="20"/>
                <w:color w:val="auto"/>
              </w:rPr>
            </w:pPr>
            <w:r>
              <w:rPr>
                <w:rFonts w:ascii="Arial" w:cs="Arial" w:eastAsia="Arial" w:hAnsi="Arial"/>
                <w:sz w:val="18"/>
                <w:szCs w:val="18"/>
                <w:color w:val="auto"/>
              </w:rPr>
              <w:t>132.39</w:t>
            </w:r>
          </w:p>
        </w:tc>
        <w:tc>
          <w:tcPr>
            <w:tcW w:w="1400" w:type="dxa"/>
            <w:vAlign w:val="bottom"/>
            <w:gridSpan w:val="2"/>
          </w:tcPr>
          <w:p>
            <w:pPr>
              <w:jc w:val="right"/>
              <w:ind w:right="49"/>
              <w:spacing w:after="0"/>
              <w:rPr>
                <w:sz w:val="20"/>
                <w:szCs w:val="20"/>
                <w:color w:val="auto"/>
              </w:rPr>
            </w:pPr>
            <w:r>
              <w:rPr>
                <w:rFonts w:ascii="Arial" w:cs="Arial" w:eastAsia="Arial" w:hAnsi="Arial"/>
                <w:sz w:val="18"/>
                <w:szCs w:val="18"/>
                <w:color w:val="auto"/>
              </w:rPr>
              <w:t>150.51</w:t>
            </w:r>
          </w:p>
        </w:tc>
        <w:tc>
          <w:tcPr>
            <w:tcW w:w="1400" w:type="dxa"/>
            <w:vAlign w:val="bottom"/>
            <w:gridSpan w:val="2"/>
          </w:tcPr>
          <w:p>
            <w:pPr>
              <w:jc w:val="right"/>
              <w:ind w:right="49"/>
              <w:spacing w:after="0"/>
              <w:rPr>
                <w:sz w:val="20"/>
                <w:szCs w:val="20"/>
                <w:color w:val="auto"/>
              </w:rPr>
            </w:pPr>
            <w:r>
              <w:rPr>
                <w:rFonts w:ascii="Arial" w:cs="Arial" w:eastAsia="Arial" w:hAnsi="Arial"/>
                <w:sz w:val="18"/>
                <w:szCs w:val="18"/>
                <w:color w:val="auto"/>
              </w:rPr>
              <w:t>152.59</w:t>
            </w:r>
          </w:p>
        </w:tc>
        <w:tc>
          <w:tcPr>
            <w:tcW w:w="1420" w:type="dxa"/>
            <w:vAlign w:val="bottom"/>
            <w:gridSpan w:val="2"/>
          </w:tcPr>
          <w:p>
            <w:pPr>
              <w:jc w:val="right"/>
              <w:ind w:right="69"/>
              <w:spacing w:after="0"/>
              <w:rPr>
                <w:sz w:val="20"/>
                <w:szCs w:val="20"/>
                <w:color w:val="auto"/>
              </w:rPr>
            </w:pPr>
            <w:r>
              <w:rPr>
                <w:rFonts w:ascii="Arial" w:cs="Arial" w:eastAsia="Arial" w:hAnsi="Arial"/>
                <w:sz w:val="18"/>
                <w:szCs w:val="18"/>
                <w:color w:val="auto"/>
              </w:rPr>
              <w:t>170.84</w:t>
            </w:r>
          </w:p>
        </w:tc>
        <w:tc>
          <w:tcPr>
            <w:tcW w:w="1600" w:type="dxa"/>
            <w:vAlign w:val="bottom"/>
            <w:gridSpan w:val="2"/>
          </w:tcPr>
          <w:p>
            <w:pPr>
              <w:jc w:val="right"/>
              <w:ind w:right="109"/>
              <w:spacing w:after="0"/>
              <w:rPr>
                <w:sz w:val="20"/>
                <w:szCs w:val="20"/>
                <w:color w:val="auto"/>
              </w:rPr>
            </w:pPr>
            <w:r>
              <w:rPr>
                <w:rFonts w:ascii="Arial" w:cs="Arial" w:eastAsia="Arial" w:hAnsi="Arial"/>
                <w:sz w:val="18"/>
                <w:szCs w:val="18"/>
                <w:color w:val="auto"/>
              </w:rPr>
              <w:t>208.14</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Russell 2000</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138.82</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145.62</w:t>
            </w:r>
          </w:p>
        </w:tc>
        <w:tc>
          <w:tcPr>
            <w:tcW w:w="14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139.19</w:t>
            </w:r>
          </w:p>
        </w:tc>
        <w:tc>
          <w:tcPr>
            <w:tcW w:w="142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168.85</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193.58</w:t>
            </w:r>
          </w:p>
        </w:tc>
        <w:tc>
          <w:tcPr>
            <w:tcW w:w="240" w:type="dxa"/>
            <w:vAlign w:val="bottom"/>
          </w:tcPr>
          <w:p>
            <w:pPr>
              <w:spacing w:after="0"/>
              <w:rPr>
                <w:sz w:val="18"/>
                <w:szCs w:val="18"/>
                <w:color w:val="auto"/>
              </w:rPr>
            </w:pPr>
          </w:p>
        </w:tc>
      </w:tr>
      <w:tr>
        <w:trPr>
          <w:trHeight w:val="231"/>
        </w:trPr>
        <w:tc>
          <w:tcPr>
            <w:tcW w:w="1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Peer Group</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69"/>
              <w:spacing w:after="0"/>
              <w:rPr>
                <w:sz w:val="20"/>
                <w:szCs w:val="20"/>
                <w:color w:val="auto"/>
              </w:rPr>
            </w:pPr>
            <w:r>
              <w:rPr>
                <w:rFonts w:ascii="Arial" w:cs="Arial" w:eastAsia="Arial" w:hAnsi="Arial"/>
                <w:sz w:val="18"/>
                <w:szCs w:val="18"/>
                <w:color w:val="auto"/>
              </w:rPr>
              <w:t>124.63</w:t>
            </w:r>
          </w:p>
        </w:tc>
        <w:tc>
          <w:tcPr>
            <w:tcW w:w="1400" w:type="dxa"/>
            <w:vAlign w:val="bottom"/>
            <w:gridSpan w:val="2"/>
          </w:tcPr>
          <w:p>
            <w:pPr>
              <w:jc w:val="right"/>
              <w:ind w:right="49"/>
              <w:spacing w:after="0"/>
              <w:rPr>
                <w:sz w:val="20"/>
                <w:szCs w:val="20"/>
                <w:color w:val="auto"/>
              </w:rPr>
            </w:pPr>
            <w:r>
              <w:rPr>
                <w:rFonts w:ascii="Arial" w:cs="Arial" w:eastAsia="Arial" w:hAnsi="Arial"/>
                <w:sz w:val="18"/>
                <w:szCs w:val="18"/>
                <w:color w:val="auto"/>
              </w:rPr>
              <w:t>114.60</w:t>
            </w:r>
          </w:p>
        </w:tc>
        <w:tc>
          <w:tcPr>
            <w:tcW w:w="1400" w:type="dxa"/>
            <w:vAlign w:val="bottom"/>
            <w:gridSpan w:val="2"/>
          </w:tcPr>
          <w:p>
            <w:pPr>
              <w:jc w:val="right"/>
              <w:ind w:right="49"/>
              <w:spacing w:after="0"/>
              <w:rPr>
                <w:sz w:val="20"/>
                <w:szCs w:val="20"/>
                <w:color w:val="auto"/>
              </w:rPr>
            </w:pPr>
            <w:r>
              <w:rPr>
                <w:rFonts w:ascii="Arial" w:cs="Arial" w:eastAsia="Arial" w:hAnsi="Arial"/>
                <w:sz w:val="18"/>
                <w:szCs w:val="18"/>
                <w:color w:val="auto"/>
              </w:rPr>
              <w:t>113.26</w:t>
            </w:r>
          </w:p>
        </w:tc>
        <w:tc>
          <w:tcPr>
            <w:tcW w:w="1420" w:type="dxa"/>
            <w:vAlign w:val="bottom"/>
            <w:gridSpan w:val="2"/>
          </w:tcPr>
          <w:p>
            <w:pPr>
              <w:jc w:val="right"/>
              <w:ind w:right="69"/>
              <w:spacing w:after="0"/>
              <w:rPr>
                <w:sz w:val="20"/>
                <w:szCs w:val="20"/>
                <w:color w:val="auto"/>
              </w:rPr>
            </w:pPr>
            <w:r>
              <w:rPr>
                <w:rFonts w:ascii="Arial" w:cs="Arial" w:eastAsia="Arial" w:hAnsi="Arial"/>
                <w:sz w:val="18"/>
                <w:szCs w:val="18"/>
                <w:color w:val="auto"/>
              </w:rPr>
              <w:t>168.86</w:t>
            </w:r>
          </w:p>
        </w:tc>
        <w:tc>
          <w:tcPr>
            <w:tcW w:w="1600" w:type="dxa"/>
            <w:vAlign w:val="bottom"/>
            <w:gridSpan w:val="2"/>
          </w:tcPr>
          <w:p>
            <w:pPr>
              <w:jc w:val="right"/>
              <w:ind w:right="109"/>
              <w:spacing w:after="0"/>
              <w:rPr>
                <w:sz w:val="20"/>
                <w:szCs w:val="20"/>
                <w:color w:val="auto"/>
              </w:rPr>
            </w:pPr>
            <w:r>
              <w:rPr>
                <w:rFonts w:ascii="Arial" w:cs="Arial" w:eastAsia="Arial" w:hAnsi="Arial"/>
                <w:sz w:val="18"/>
                <w:szCs w:val="18"/>
                <w:color w:val="auto"/>
              </w:rPr>
              <w:t>195.54</w:t>
            </w:r>
          </w:p>
        </w:tc>
        <w:tc>
          <w:tcPr>
            <w:tcW w:w="240" w:type="dxa"/>
            <w:vAlign w:val="bottom"/>
          </w:tcPr>
          <w:p>
            <w:pPr>
              <w:spacing w:after="0"/>
              <w:rPr>
                <w:sz w:val="20"/>
                <w:szCs w:val="20"/>
                <w:color w:val="auto"/>
              </w:rPr>
            </w:pPr>
          </w:p>
        </w:tc>
      </w:tr>
      <w:tr>
        <w:trPr>
          <w:trHeight w:val="760"/>
        </w:trPr>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gridSpan w:val="2"/>
          </w:tcPr>
          <w:p>
            <w:pPr>
              <w:jc w:val="right"/>
              <w:ind w:right="909"/>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26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31" w:name="page32"/>
    <w:bookmarkEnd w:id="3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6.  Selected Financial Data</w:t>
      </w:r>
    </w:p>
    <w:p>
      <w:pPr>
        <w:spacing w:after="0" w:line="119" w:lineRule="exact"/>
        <w:rPr>
          <w:sz w:val="20"/>
          <w:szCs w:val="20"/>
          <w:color w:val="auto"/>
        </w:rPr>
      </w:pPr>
    </w:p>
    <w:p>
      <w:pPr>
        <w:ind w:left="180" w:firstLine="268"/>
        <w:spacing w:after="0" w:line="253" w:lineRule="auto"/>
        <w:rPr>
          <w:sz w:val="20"/>
          <w:szCs w:val="20"/>
          <w:color w:val="auto"/>
        </w:rPr>
      </w:pPr>
      <w:r>
        <w:rPr>
          <w:rFonts w:ascii="Arial" w:cs="Arial" w:eastAsia="Arial" w:hAnsi="Arial"/>
          <w:sz w:val="18"/>
          <w:szCs w:val="18"/>
          <w:color w:val="auto"/>
        </w:rPr>
        <w:t>The following table sets forth certain summary financial information on a historical basis. The summary statement of operations and the balance sheet data set forth below have been derived from our audited Financial Statements and footnotes thereto included elsewhere in this filing or in prior filings. Our Financial Statements have been prepared in accordance with U.S. GAAP. Historical results are not necessarily indicative of the results we expect in the future and quarterly results are not necessarily indicative of the results of any future quarter or any full-year period. The information below should be read in conjunction with “Item 7. Management’s Discussion and Analysis of Financial Condition and Results from Operations” and the Financial Statements and notes thereto included in this Annual Report on Form 10-K.</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Statement of operations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41910</wp:posOffset>
            </wp:positionV>
            <wp:extent cx="17373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7360" cy="8255"/>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41910</wp:posOffset>
            </wp:positionV>
            <wp:extent cx="35090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0901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2"/>
          </w:tcPr>
          <w:p>
            <w:pPr>
              <w:jc w:val="center"/>
              <w:ind w:left="174"/>
              <w:spacing w:after="0"/>
              <w:rPr>
                <w:sz w:val="20"/>
                <w:szCs w:val="20"/>
                <w:color w:val="auto"/>
              </w:rPr>
            </w:pPr>
            <w:r>
              <w:rPr>
                <w:rFonts w:ascii="Arial" w:cs="Arial" w:eastAsia="Arial" w:hAnsi="Arial"/>
                <w:sz w:val="14"/>
                <w:szCs w:val="14"/>
                <w:b w:val="1"/>
                <w:bCs w:val="1"/>
                <w:color w:val="auto"/>
                <w:w w:val="91"/>
              </w:rPr>
              <w:t>For the year ended December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8"/>
        </w:trPr>
        <w:tc>
          <w:tcPr>
            <w:tcW w:w="12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Contract revenues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1,403,317</w:t>
            </w:r>
          </w:p>
        </w:tc>
        <w:tc>
          <w:tcPr>
            <w:tcW w:w="16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w w:val="86"/>
              </w:rPr>
              <w:t>$ 1,142,487</w:t>
            </w:r>
          </w:p>
        </w:tc>
        <w:tc>
          <w:tcPr>
            <w:tcW w:w="16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w w:val="86"/>
              </w:rPr>
              <w:t>$ 1,061,681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67"/>
              <w:spacing w:after="0"/>
              <w:rPr>
                <w:sz w:val="20"/>
                <w:szCs w:val="20"/>
                <w:color w:val="auto"/>
              </w:rPr>
            </w:pPr>
            <w:r>
              <w:rPr>
                <w:rFonts w:ascii="Arial" w:cs="Arial" w:eastAsia="Arial" w:hAnsi="Arial"/>
                <w:sz w:val="18"/>
                <w:szCs w:val="18"/>
                <w:color w:val="auto"/>
                <w:w w:val="95"/>
              </w:rPr>
              <w:t>943,967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902,729</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costs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1,278,313</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1,007,764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939,340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w w:val="95"/>
              </w:rPr>
              <w:t>811,553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777,852</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980" w:type="dxa"/>
            <w:vAlign w:val="bottom"/>
            <w:gridSpan w:val="2"/>
          </w:tcPr>
          <w:p>
            <w:pPr>
              <w:ind w:left="38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125,004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134,723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122,341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67"/>
              <w:spacing w:after="0"/>
              <w:rPr>
                <w:sz w:val="20"/>
                <w:szCs w:val="20"/>
                <w:color w:val="auto"/>
              </w:rPr>
            </w:pPr>
            <w:r>
              <w:rPr>
                <w:rFonts w:ascii="Arial" w:cs="Arial" w:eastAsia="Arial" w:hAnsi="Arial"/>
                <w:sz w:val="18"/>
                <w:szCs w:val="18"/>
                <w:color w:val="auto"/>
                <w:w w:val="95"/>
              </w:rPr>
              <w:t>132,414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124,877</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98,611</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79,186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rPr>
              <w:t>73,818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69,818</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3"/>
          </w:tcPr>
          <w:p>
            <w:pPr>
              <w:jc w:val="right"/>
              <w:ind w:right="67"/>
              <w:spacing w:after="0"/>
              <w:rPr>
                <w:sz w:val="20"/>
                <w:szCs w:val="20"/>
                <w:color w:val="auto"/>
              </w:rPr>
            </w:pPr>
            <w:r>
              <w:rPr>
                <w:rFonts w:ascii="Arial" w:cs="Arial" w:eastAsia="Arial" w:hAnsi="Arial"/>
                <w:sz w:val="18"/>
                <w:szCs w:val="18"/>
                <w:color w:val="auto"/>
                <w:w w:val="99"/>
              </w:rPr>
              <w:t>334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w w:val="85"/>
              </w:rPr>
              <w:t>(142)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980" w:type="dxa"/>
            <w:vAlign w:val="bottom"/>
            <w:gridSpan w:val="2"/>
          </w:tcPr>
          <w:p>
            <w:pPr>
              <w:ind w:left="38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38,754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44,841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67"/>
              <w:spacing w:after="0"/>
              <w:rPr>
                <w:sz w:val="20"/>
                <w:szCs w:val="20"/>
                <w:color w:val="auto"/>
              </w:rPr>
            </w:pPr>
            <w:r>
              <w:rPr>
                <w:rFonts w:ascii="Arial" w:cs="Arial" w:eastAsia="Arial" w:hAnsi="Arial"/>
                <w:sz w:val="18"/>
                <w:szCs w:val="18"/>
                <w:color w:val="auto"/>
              </w:rPr>
              <w:t>58,404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55,617</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3"/>
          </w:tcPr>
          <w:p>
            <w:pPr>
              <w:jc w:val="right"/>
              <w:ind w:right="67"/>
              <w:spacing w:after="0"/>
              <w:rPr>
                <w:sz w:val="20"/>
                <w:szCs w:val="20"/>
                <w:color w:val="auto"/>
              </w:rPr>
            </w:pPr>
            <w:r>
              <w:rPr>
                <w:rFonts w:ascii="Arial" w:cs="Arial" w:eastAsia="Arial" w:hAnsi="Arial"/>
                <w:sz w:val="18"/>
                <w:szCs w:val="18"/>
                <w:color w:val="auto"/>
                <w:w w:val="99"/>
              </w:rPr>
              <w:t>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(2,603)</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w w:val="85"/>
              </w:rPr>
              <w:t>(722)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3"/>
          </w:tcPr>
          <w:p>
            <w:pPr>
              <w:jc w:val="right"/>
              <w:ind w:right="67"/>
              <w:spacing w:after="0"/>
              <w:rPr>
                <w:sz w:val="20"/>
                <w:szCs w:val="20"/>
                <w:color w:val="auto"/>
              </w:rPr>
            </w:pPr>
            <w:r>
              <w:rPr>
                <w:rFonts w:ascii="Arial" w:cs="Arial" w:eastAsia="Arial" w:hAnsi="Arial"/>
                <w:sz w:val="18"/>
                <w:szCs w:val="18"/>
                <w:color w:val="auto"/>
                <w:w w:val="99"/>
              </w:rPr>
              <w:t>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44,299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rPr>
              <w:t>57,950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54,872</w:t>
            </w:r>
          </w:p>
        </w:tc>
        <w:tc>
          <w:tcPr>
            <w:tcW w:w="240" w:type="dxa"/>
            <w:vAlign w:val="bottom"/>
          </w:tcPr>
          <w:p>
            <w:pPr>
              <w:spacing w:after="0"/>
              <w:rPr>
                <w:sz w:val="18"/>
                <w:szCs w:val="18"/>
                <w:color w:val="auto"/>
              </w:rPr>
            </w:pPr>
          </w:p>
        </w:tc>
      </w:tr>
      <w:tr>
        <w:trPr>
          <w:trHeight w:val="255"/>
        </w:trPr>
        <w:tc>
          <w:tcPr>
            <w:tcW w:w="120" w:type="dxa"/>
            <w:vAlign w:val="bottom"/>
          </w:tcPr>
          <w:p>
            <w:pPr>
              <w:spacing w:after="0"/>
              <w:rPr>
                <w:sz w:val="22"/>
                <w:szCs w:val="22"/>
                <w:color w:val="auto"/>
              </w:rPr>
            </w:pPr>
          </w:p>
        </w:tc>
        <w:tc>
          <w:tcPr>
            <w:tcW w:w="3980" w:type="dxa"/>
            <w:vAlign w:val="bottom"/>
            <w:gridSpan w:val="2"/>
          </w:tcPr>
          <w:p>
            <w:pPr>
              <w:ind w:left="540"/>
              <w:spacing w:after="0" w:line="255" w:lineRule="exact"/>
              <w:rPr>
                <w:sz w:val="20"/>
                <w:szCs w:val="20"/>
                <w:color w:val="auto"/>
              </w:rPr>
            </w:pPr>
            <w:r>
              <w:rPr>
                <w:rFonts w:ascii="Arial" w:cs="Arial" w:eastAsia="Arial" w:hAnsi="Arial"/>
                <w:sz w:val="18"/>
                <w:szCs w:val="18"/>
                <w:color w:val="auto"/>
              </w:rPr>
              <w:t>Income tax expense</w:t>
            </w:r>
            <w:r>
              <w:rPr>
                <w:rFonts w:ascii="Arial" w:cs="Arial" w:eastAsia="Arial" w:hAnsi="Arial"/>
                <w:sz w:val="29"/>
                <w:szCs w:val="29"/>
                <w:color w:val="auto"/>
                <w:vertAlign w:val="superscript"/>
              </w:rPr>
              <w:t>(1)</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16,914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16,997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4"/>
          </w:tcPr>
          <w:p>
            <w:pPr>
              <w:jc w:val="right"/>
              <w:ind w:right="67"/>
              <w:spacing w:after="0"/>
              <w:rPr>
                <w:sz w:val="20"/>
                <w:szCs w:val="20"/>
                <w:color w:val="auto"/>
              </w:rPr>
            </w:pPr>
            <w:r>
              <w:rPr>
                <w:rFonts w:ascii="Arial" w:cs="Arial" w:eastAsia="Arial" w:hAnsi="Arial"/>
                <w:sz w:val="18"/>
                <w:szCs w:val="18"/>
                <w:color w:val="auto"/>
              </w:rPr>
              <w:t>21,406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20,113</w:t>
            </w:r>
          </w:p>
        </w:tc>
        <w:tc>
          <w:tcPr>
            <w:tcW w:w="24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1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21,431</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27,302</w:t>
            </w:r>
          </w:p>
        </w:tc>
        <w:tc>
          <w:tcPr>
            <w:tcW w:w="38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rPr>
              <w:t>36,544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34,759</w:t>
            </w:r>
          </w:p>
        </w:tc>
        <w:tc>
          <w:tcPr>
            <w:tcW w:w="24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39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Income per common share:</w:t>
            </w:r>
          </w:p>
        </w:tc>
        <w:tc>
          <w:tcPr>
            <w:tcW w:w="3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38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w w:val="85"/>
              </w:rPr>
              <w:t>1.73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4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1.30</w:t>
            </w:r>
          </w:p>
        </w:tc>
        <w:tc>
          <w:tcPr>
            <w:tcW w:w="38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gridSpan w:val="3"/>
          </w:tcPr>
          <w:p>
            <w:pPr>
              <w:jc w:val="right"/>
              <w:ind w:right="67"/>
              <w:spacing w:after="0"/>
              <w:rPr>
                <w:sz w:val="20"/>
                <w:szCs w:val="20"/>
                <w:color w:val="auto"/>
              </w:rPr>
            </w:pPr>
            <w:r>
              <w:rPr>
                <w:rFonts w:ascii="Arial" w:cs="Arial" w:eastAsia="Arial" w:hAnsi="Arial"/>
                <w:sz w:val="18"/>
                <w:szCs w:val="18"/>
                <w:color w:val="auto"/>
                <w:w w:val="85"/>
              </w:rPr>
              <w:t>1.69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r>
      <w:tr>
        <w:trPr>
          <w:trHeight w:val="200"/>
        </w:trPr>
        <w:tc>
          <w:tcPr>
            <w:tcW w:w="120" w:type="dxa"/>
            <w:vAlign w:val="bottom"/>
          </w:tcPr>
          <w:p>
            <w:pPr>
              <w:spacing w:after="0"/>
              <w:rPr>
                <w:sz w:val="17"/>
                <w:szCs w:val="17"/>
                <w:color w:val="auto"/>
              </w:rPr>
            </w:pPr>
          </w:p>
        </w:tc>
        <w:tc>
          <w:tcPr>
            <w:tcW w:w="5380" w:type="dxa"/>
            <w:vAlign w:val="bottom"/>
            <w:gridSpan w:val="5"/>
            <w:shd w:val="clear" w:color="auto" w:fill="CCEEFF"/>
          </w:tcPr>
          <w:p>
            <w:pPr>
              <w:ind w:left="20"/>
              <w:spacing w:after="0" w:line="201" w:lineRule="exact"/>
              <w:rPr>
                <w:sz w:val="20"/>
                <w:szCs w:val="20"/>
                <w:color w:val="auto"/>
              </w:rPr>
            </w:pPr>
            <w:r>
              <w:rPr>
                <w:rFonts w:ascii="Arial" w:cs="Arial" w:eastAsia="Arial" w:hAnsi="Arial"/>
                <w:sz w:val="18"/>
                <w:szCs w:val="18"/>
                <w:color w:val="auto"/>
                <w:w w:val="88"/>
              </w:rPr>
              <w:t>Weighted average number of common shares and potential common shares</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16,273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17,109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20,577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67"/>
              <w:spacing w:after="0"/>
              <w:rPr>
                <w:sz w:val="20"/>
                <w:szCs w:val="20"/>
                <w:color w:val="auto"/>
              </w:rPr>
            </w:pPr>
            <w:r>
              <w:rPr>
                <w:rFonts w:ascii="Arial" w:cs="Arial" w:eastAsia="Arial" w:hAnsi="Arial"/>
                <w:sz w:val="18"/>
                <w:szCs w:val="18"/>
                <w:color w:val="auto"/>
              </w:rPr>
              <w:t>20,922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20,821</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16,496</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rPr>
              <w:t>21,466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21,431</w:t>
            </w:r>
          </w:p>
        </w:tc>
        <w:tc>
          <w:tcPr>
            <w:tcW w:w="240" w:type="dxa"/>
            <w:vAlign w:val="bottom"/>
          </w:tcPr>
          <w:p>
            <w:pPr>
              <w:spacing w:after="0"/>
              <w:rPr>
                <w:sz w:val="18"/>
                <w:szCs w:val="18"/>
                <w:color w:val="auto"/>
              </w:rPr>
            </w:pPr>
          </w:p>
        </w:tc>
      </w:tr>
      <w:tr>
        <w:trPr>
          <w:trHeight w:val="360"/>
        </w:trPr>
        <w:tc>
          <w:tcPr>
            <w:tcW w:w="120" w:type="dxa"/>
            <w:vAlign w:val="bottom"/>
          </w:tcPr>
          <w:p>
            <w:pPr>
              <w:spacing w:after="0"/>
              <w:rPr>
                <w:sz w:val="24"/>
                <w:szCs w:val="24"/>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4"/>
        </w:trPr>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w w:val="90"/>
              </w:rPr>
              <w:t>As of December 31,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95"/>
        </w:trPr>
        <w:tc>
          <w:tcPr>
            <w:tcW w:w="120" w:type="dxa"/>
            <w:vAlign w:val="bottom"/>
          </w:tcPr>
          <w:p>
            <w:pPr>
              <w:spacing w:after="0"/>
              <w:rPr>
                <w:sz w:val="16"/>
                <w:szCs w:val="16"/>
                <w:color w:val="auto"/>
              </w:rPr>
            </w:pPr>
          </w:p>
        </w:tc>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12"/>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8"/>
        </w:trPr>
        <w:tc>
          <w:tcPr>
            <w:tcW w:w="120" w:type="dxa"/>
            <w:vAlign w:val="bottom"/>
          </w:tcPr>
          <w:p>
            <w:pPr>
              <w:spacing w:after="0"/>
              <w:rPr>
                <w:sz w:val="18"/>
                <w:szCs w:val="18"/>
                <w:color w:val="auto"/>
              </w:rPr>
            </w:pPr>
          </w:p>
        </w:tc>
        <w:tc>
          <w:tcPr>
            <w:tcW w:w="3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23,846</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39,797</w:t>
            </w: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77,636</w:t>
            </w: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76,454</w:t>
            </w:r>
          </w:p>
        </w:tc>
        <w:tc>
          <w:tcPr>
            <w:tcW w:w="240" w:type="dxa"/>
            <w:vAlign w:val="bottom"/>
          </w:tcPr>
          <w:p>
            <w:pPr>
              <w:spacing w:after="0"/>
              <w:rPr>
                <w:sz w:val="18"/>
                <w:szCs w:val="18"/>
                <w:color w:val="auto"/>
              </w:rPr>
            </w:pPr>
          </w:p>
        </w:tc>
      </w:tr>
      <w:tr>
        <w:trPr>
          <w:trHeight w:val="255"/>
        </w:trPr>
        <w:tc>
          <w:tcPr>
            <w:tcW w:w="120" w:type="dxa"/>
            <w:vAlign w:val="bottom"/>
          </w:tcPr>
          <w:p>
            <w:pPr>
              <w:spacing w:after="0"/>
              <w:rPr>
                <w:sz w:val="22"/>
                <w:szCs w:val="22"/>
                <w:color w:val="auto"/>
              </w:rPr>
            </w:pPr>
          </w:p>
        </w:tc>
        <w:tc>
          <w:tcPr>
            <w:tcW w:w="3980" w:type="dxa"/>
            <w:vAlign w:val="bottom"/>
            <w:gridSpan w:val="2"/>
            <w:shd w:val="clear" w:color="auto" w:fill="CCEEFF"/>
          </w:tcPr>
          <w:p>
            <w:pPr>
              <w:ind w:left="20"/>
              <w:spacing w:after="0" w:line="255"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(2)</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191,172</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146,677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123,630</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141,913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119,570</w:t>
            </w:r>
          </w:p>
        </w:tc>
        <w:tc>
          <w:tcPr>
            <w:tcW w:w="240" w:type="dxa"/>
            <w:vAlign w:val="bottom"/>
          </w:tcPr>
          <w:p>
            <w:pPr>
              <w:spacing w:after="0"/>
              <w:rPr>
                <w:sz w:val="22"/>
                <w:szCs w:val="22"/>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603,788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573,495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524,925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520,086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525,422</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78,960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316,749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310,321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195,045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197,553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229,331</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287,039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263,174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329,880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322,553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296,091</w:t>
            </w:r>
          </w:p>
        </w:tc>
        <w:tc>
          <w:tcPr>
            <w:tcW w:w="240" w:type="dxa"/>
            <w:vAlign w:val="bottom"/>
          </w:tcPr>
          <w:p>
            <w:pPr>
              <w:spacing w:after="0"/>
              <w:rPr>
                <w:sz w:val="18"/>
                <w:szCs w:val="18"/>
                <w:color w:val="auto"/>
              </w:rPr>
            </w:pPr>
          </w:p>
        </w:tc>
      </w:tr>
      <w:tr>
        <w:trPr>
          <w:trHeight w:val="763"/>
        </w:trPr>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auto"/>
                <w:w w:val="73"/>
              </w:rPr>
              <w:t>28</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3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-4751705</wp:posOffset>
            </wp:positionV>
            <wp:extent cx="7026275" cy="144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-4197985</wp:posOffset>
            </wp:positionV>
            <wp:extent cx="7026275" cy="144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-3056890</wp:posOffset>
            </wp:positionV>
            <wp:extent cx="7026275" cy="170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-1813560</wp:posOffset>
            </wp:positionV>
            <wp:extent cx="67964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6405" cy="8255"/>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7373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37360"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41910</wp:posOffset>
            </wp:positionV>
            <wp:extent cx="3815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95"/>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3"/>
              <w:spacing w:after="0"/>
              <w:rPr>
                <w:sz w:val="20"/>
                <w:szCs w:val="20"/>
                <w:color w:val="auto"/>
              </w:rPr>
            </w:pPr>
            <w:r>
              <w:rPr>
                <w:rFonts w:ascii="Arial" w:cs="Arial" w:eastAsia="Arial" w:hAnsi="Arial"/>
                <w:sz w:val="14"/>
                <w:szCs w:val="14"/>
                <w:b w:val="1"/>
                <w:bCs w:val="1"/>
                <w:color w:val="auto"/>
              </w:rPr>
              <w:t>2013</w:t>
            </w:r>
          </w:p>
        </w:tc>
      </w:tr>
      <w:tr>
        <w:trPr>
          <w:trHeight w:val="208"/>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flows provided by (used in) operating activities</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54,490</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43,000</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54,976</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95,062</w:t>
            </w:r>
          </w:p>
        </w:tc>
      </w:tr>
      <w:tr>
        <w:trPr>
          <w:trHeight w:val="215"/>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(38,725)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(41,574)</w:t>
            </w:r>
          </w:p>
        </w:tc>
      </w:tr>
      <w:tr>
        <w:trPr>
          <w:trHeight w:val="215"/>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24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16,889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(23,911)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2"/>
              </w:rPr>
              <w:t>(15,069)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3,141</w:t>
            </w:r>
          </w:p>
        </w:tc>
      </w:tr>
      <w:tr>
        <w:trPr>
          <w:trHeight w:val="255"/>
        </w:trPr>
        <w:tc>
          <w:tcPr>
            <w:tcW w:w="4900" w:type="dxa"/>
            <w:vAlign w:val="bottom"/>
            <w:gridSpan w:val="2"/>
            <w:shd w:val="clear" w:color="auto" w:fill="CCEEFF"/>
          </w:tcPr>
          <w:p>
            <w:pPr>
              <w:ind w:left="20"/>
              <w:spacing w:after="0" w:line="255"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38,576</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39,122</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38,029</w:t>
            </w: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33,423</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29,195</w:t>
            </w:r>
          </w:p>
        </w:tc>
      </w:tr>
      <w:tr>
        <w:trPr>
          <w:trHeight w:val="215"/>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30,843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25,371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46,599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39,045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42,725</w:t>
            </w:r>
          </w:p>
        </w:tc>
      </w:tr>
      <w:tr>
        <w:trPr>
          <w:trHeight w:val="255"/>
        </w:trPr>
        <w:tc>
          <w:tcPr>
            <w:tcW w:w="4900" w:type="dxa"/>
            <w:vAlign w:val="bottom"/>
            <w:gridSpan w:val="2"/>
            <w:shd w:val="clear" w:color="auto" w:fill="CCEEFF"/>
          </w:tcPr>
          <w:p>
            <w:pPr>
              <w:ind w:left="20"/>
              <w:spacing w:after="0" w:line="255" w:lineRule="exact"/>
              <w:rPr>
                <w:sz w:val="20"/>
                <w:szCs w:val="20"/>
                <w:color w:val="auto"/>
              </w:rPr>
            </w:pPr>
            <w:r>
              <w:rPr>
                <w:rFonts w:ascii="Arial" w:cs="Arial" w:eastAsia="Arial" w:hAnsi="Arial"/>
                <w:sz w:val="18"/>
                <w:szCs w:val="18"/>
                <w:color w:val="auto"/>
              </w:rPr>
              <w:t>Backlog</w:t>
            </w:r>
            <w:r>
              <w:rPr>
                <w:rFonts w:ascii="Arial" w:cs="Arial" w:eastAsia="Arial" w:hAnsi="Arial"/>
                <w:sz w:val="29"/>
                <w:szCs w:val="29"/>
                <w:color w:val="auto"/>
                <w:vertAlign w:val="superscript"/>
              </w:rPr>
              <w:t>(4)</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679,139</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688,832</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450,934</w:t>
            </w: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433,641</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326,094</w:t>
            </w:r>
          </w:p>
        </w:tc>
      </w:tr>
      <w:tr>
        <w:trPr>
          <w:trHeight w:val="388"/>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65,815</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78,761</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83,044</w:t>
            </w:r>
          </w:p>
        </w:tc>
        <w:tc>
          <w:tcPr>
            <w:tcW w:w="52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91,989</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84,785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6134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3410" cy="17145"/>
                    </a:xfrm>
                    <a:prstGeom prst="rect">
                      <a:avLst/>
                    </a:prstGeom>
                    <a:noFill/>
                  </pic:spPr>
                </pic:pic>
              </a:graphicData>
            </a:graphic>
          </wp:anchor>
        </w:drawing>
      </w:r>
    </w:p>
    <w:p>
      <w:pPr>
        <w:spacing w:after="0" w:line="396" w:lineRule="exact"/>
        <w:rPr>
          <w:sz w:val="20"/>
          <w:szCs w:val="20"/>
          <w:color w:val="auto"/>
        </w:rPr>
      </w:pPr>
    </w:p>
    <w:p>
      <w:pPr>
        <w:ind w:left="300" w:right="480" w:hanging="274"/>
        <w:spacing w:after="0" w:line="336"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Due to the enactment of the Tax Act on December 22, 2017, the results for the year ended December 31, 2017 include a net Tax Act benefit of $7.8 million, or $0.48 and $0.47 per basic and diluted share, respectively. See further discussion in Note 10 — Income Taxes to our Financial Statements.</w:t>
      </w:r>
    </w:p>
    <w:p>
      <w:pPr>
        <w:spacing w:after="0" w:line="21" w:lineRule="exact"/>
        <w:rPr>
          <w:rFonts w:ascii="Arial" w:cs="Arial" w:eastAsia="Arial" w:hAnsi="Arial"/>
          <w:sz w:val="16"/>
          <w:szCs w:val="16"/>
          <w:color w:val="auto"/>
        </w:rPr>
      </w:pPr>
    </w:p>
    <w:p>
      <w:pPr>
        <w:ind w:left="300" w:hanging="274"/>
        <w:spacing w:after="0" w:line="260"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represents total current assets less total current liabilities. Certain adjustments were made to working capital beginning in 2016 that are not reflected in the prior periods, see additional information related to these reclassifications in Note 1 — Organization, Business and Significant Accounting Policies to our Financial Statements.</w:t>
      </w:r>
    </w:p>
    <w:p>
      <w:pPr>
        <w:spacing w:after="0" w:line="78" w:lineRule="exact"/>
        <w:rPr>
          <w:rFonts w:ascii="Arial" w:cs="Arial" w:eastAsia="Arial" w:hAnsi="Arial"/>
          <w:sz w:val="18"/>
          <w:szCs w:val="18"/>
          <w:color w:val="auto"/>
        </w:rPr>
      </w:pPr>
    </w:p>
    <w:p>
      <w:pPr>
        <w:ind w:left="300" w:hanging="274"/>
        <w:spacing w:after="0"/>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Depreciation and amortization includes depreciation on capital assets, amortization of capital leases and amortization of finite-lived intangible assets.</w:t>
      </w:r>
    </w:p>
    <w:p>
      <w:pPr>
        <w:spacing w:after="0" w:line="137" w:lineRule="exact"/>
        <w:rPr>
          <w:rFonts w:ascii="Arial" w:cs="Arial" w:eastAsia="Arial" w:hAnsi="Arial"/>
          <w:sz w:val="16"/>
          <w:szCs w:val="16"/>
          <w:color w:val="auto"/>
        </w:rPr>
      </w:pPr>
    </w:p>
    <w:p>
      <w:pPr>
        <w:jc w:val="both"/>
        <w:ind w:left="300" w:right="220" w:hanging="274"/>
        <w:spacing w:after="0" w:line="308"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Backlog represents our estimated revenue on uncompleted contracts, including the amount of revenue on contracts on which work has not begun, minus the revenue we have recognized under such contracts. See “Item 1. Business — Backlog” for a discussion on how we calculate backlog for our business and “Item 1A. Risk Factors — Backlog may not be realized or may not result in profits and may not accurately represent future revenue.”</w:t>
      </w:r>
    </w:p>
    <w:p>
      <w:pPr>
        <w:spacing w:after="0" w:line="42" w:lineRule="exact"/>
        <w:rPr>
          <w:rFonts w:ascii="Arial" w:cs="Arial" w:eastAsia="Arial" w:hAnsi="Arial"/>
          <w:sz w:val="16"/>
          <w:szCs w:val="16"/>
          <w:color w:val="auto"/>
        </w:rPr>
      </w:pPr>
    </w:p>
    <w:p>
      <w:pPr>
        <w:ind w:left="300" w:right="20" w:hanging="274"/>
        <w:spacing w:after="0" w:line="286"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EBITDA, a performance measure used by management, as net income plus: interest income and expense, provision for income taxes and depreciation and amortization, as shown in the following table. EBITDA, a non-GAAP financial measure, does not purport to be an alternative to net income as a measure of operating performance or to net cash flows provided by operating activities as a measure of liquidity.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spacing w:after="0" w:line="61" w:lineRule="exact"/>
        <w:rPr>
          <w:sz w:val="20"/>
          <w:szCs w:val="20"/>
          <w:color w:val="auto"/>
        </w:rPr>
      </w:pPr>
    </w:p>
    <w:p>
      <w:pPr>
        <w:ind w:left="340"/>
        <w:spacing w:after="0" w:line="309" w:lineRule="auto"/>
        <w:rPr>
          <w:sz w:val="20"/>
          <w:szCs w:val="20"/>
          <w:color w:val="auto"/>
        </w:rPr>
      </w:pPr>
      <w:r>
        <w:rPr>
          <w:rFonts w:ascii="Arial" w:cs="Arial" w:eastAsia="Arial" w:hAnsi="Arial"/>
          <w:sz w:val="15"/>
          <w:szCs w:val="15"/>
          <w:color w:val="auto"/>
        </w:rPr>
        <w:t>Using EBITDA as a performance measure has material limitations as compared to net income, or other financial measures as defined under U.S. GAAP, as it excludes certain recurring items, which may be meaningful to investors. EBITDA excludes interest expense or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interest income, depreciation and amortization and income taxes has material limitations as compared to net income. When using EBITDA as a performance measure, management</w:t>
      </w:r>
    </w:p>
    <w:p>
      <w:pPr>
        <w:spacing w:after="0" w:line="200" w:lineRule="exact"/>
        <w:rPr>
          <w:sz w:val="20"/>
          <w:szCs w:val="20"/>
          <w:color w:val="auto"/>
        </w:rPr>
      </w:pPr>
    </w:p>
    <w:p>
      <w:pPr>
        <w:spacing w:after="0" w:line="29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33" w:name="page34"/>
    <w:bookmarkEnd w:id="3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jc w:val="both"/>
        <w:ind w:left="460" w:right="120"/>
        <w:spacing w:after="0" w:line="256" w:lineRule="auto"/>
        <w:rPr>
          <w:sz w:val="20"/>
          <w:szCs w:val="20"/>
          <w:color w:val="auto"/>
        </w:rPr>
      </w:pPr>
      <w:r>
        <w:rPr>
          <w:rFonts w:ascii="Arial" w:cs="Arial" w:eastAsia="Arial" w:hAnsi="Arial"/>
          <w:sz w:val="18"/>
          <w:szCs w:val="18"/>
          <w:color w:val="auto"/>
        </w:rPr>
        <w:t>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19672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7230" cy="8255"/>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39370</wp:posOffset>
            </wp:positionV>
            <wp:extent cx="3653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53790" cy="825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95"/>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6"/>
                <w:szCs w:val="16"/>
                <w:color w:val="auto"/>
              </w:rPr>
            </w:pPr>
          </w:p>
        </w:tc>
      </w:tr>
      <w:tr>
        <w:trPr>
          <w:trHeight w:val="208"/>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21,154</w:t>
            </w: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21,431</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27,302</w:t>
            </w:r>
          </w:p>
        </w:tc>
        <w:tc>
          <w:tcPr>
            <w:tcW w:w="160" w:type="dxa"/>
            <w:vAlign w:val="bottom"/>
          </w:tcPr>
          <w:p>
            <w:pPr>
              <w:spacing w:after="0"/>
              <w:rPr>
                <w:sz w:val="18"/>
                <w:szCs w:val="18"/>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36,544</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34,759</w:t>
            </w:r>
          </w:p>
        </w:tc>
      </w:tr>
      <w:tr>
        <w:trPr>
          <w:trHeight w:val="215"/>
        </w:trPr>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w:t>
            </w:r>
          </w:p>
        </w:tc>
      </w:tr>
      <w:tr>
        <w:trPr>
          <w:trHeight w:val="215"/>
        </w:trPr>
        <w:tc>
          <w:tcPr>
            <w:tcW w:w="4940" w:type="dxa"/>
            <w:vAlign w:val="bottom"/>
            <w:gridSpan w:val="2"/>
          </w:tcPr>
          <w:p>
            <w:pPr>
              <w:ind w:left="20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16,997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21,406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20,113</w:t>
            </w:r>
          </w:p>
        </w:tc>
      </w:tr>
      <w:tr>
        <w:trPr>
          <w:trHeight w:val="255"/>
        </w:trPr>
        <w:tc>
          <w:tcPr>
            <w:tcW w:w="4940" w:type="dxa"/>
            <w:vAlign w:val="bottom"/>
            <w:gridSpan w:val="2"/>
            <w:shd w:val="clear" w:color="auto" w:fill="CCEEFF"/>
          </w:tcPr>
          <w:p>
            <w:pPr>
              <w:ind w:left="200"/>
              <w:spacing w:after="0" w:line="255"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38,576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39,122</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38,029</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33,423</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29,195</w:t>
            </w:r>
          </w:p>
        </w:tc>
      </w:tr>
      <w:tr>
        <w:trPr>
          <w:trHeight w:val="20"/>
        </w:trPr>
        <w:tc>
          <w:tcPr>
            <w:tcW w:w="4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8"/>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65,815</w:t>
            </w:r>
          </w:p>
        </w:tc>
        <w:tc>
          <w:tcPr>
            <w:tcW w:w="80" w:type="dxa"/>
            <w:vAlign w:val="bottom"/>
          </w:tcPr>
          <w:p>
            <w:pPr>
              <w:spacing w:after="0"/>
              <w:rPr>
                <w:sz w:val="18"/>
                <w:szCs w:val="18"/>
                <w:color w:val="auto"/>
              </w:rPr>
            </w:pPr>
          </w:p>
        </w:tc>
        <w:tc>
          <w:tcPr>
            <w:tcW w:w="4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78,761</w:t>
            </w:r>
          </w:p>
        </w:tc>
        <w:tc>
          <w:tcPr>
            <w:tcW w:w="4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83,044</w:t>
            </w:r>
          </w:p>
        </w:tc>
        <w:tc>
          <w:tcPr>
            <w:tcW w:w="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91,989</w:t>
            </w:r>
          </w:p>
        </w:tc>
        <w:tc>
          <w:tcPr>
            <w:tcW w:w="44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84,785</w:t>
            </w:r>
          </w:p>
        </w:tc>
      </w:tr>
      <w:tr>
        <w:trPr>
          <w:trHeight w:val="20"/>
        </w:trPr>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-178435</wp:posOffset>
            </wp:positionV>
            <wp:extent cx="7026275" cy="179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180" w:firstLine="268"/>
        <w:spacing w:after="0" w:line="286"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19672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7230" cy="825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39370</wp:posOffset>
            </wp:positionV>
            <wp:extent cx="2861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For the 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8"/>
        </w:trPr>
        <w:tc>
          <w:tcPr>
            <w:tcW w:w="120" w:type="dxa"/>
            <w:vAlign w:val="bottom"/>
          </w:tcPr>
          <w:p>
            <w:pPr>
              <w:spacing w:after="0"/>
              <w:rPr>
                <w:sz w:val="18"/>
                <w:szCs w:val="18"/>
                <w:color w:val="auto"/>
              </w:rPr>
            </w:pPr>
          </w:p>
        </w:tc>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cash flows provided by (used in) operating activities</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(9,198)</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$ 54,490</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$ 43,000</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$ 54,976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95,062</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Add/(subtract)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65,743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13,795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26,669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23,314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(27,950)</w:t>
            </w:r>
          </w:p>
        </w:tc>
        <w:tc>
          <w:tcPr>
            <w:tcW w:w="240" w:type="dxa"/>
            <w:vAlign w:val="bottom"/>
          </w:tcPr>
          <w:p>
            <w:pPr>
              <w:spacing w:after="0"/>
              <w:rPr>
                <w:sz w:val="18"/>
                <w:szCs w:val="18"/>
                <w:color w:val="auto"/>
              </w:rPr>
            </w:pPr>
          </w:p>
        </w:tc>
      </w:tr>
      <w:tr>
        <w:trPr>
          <w:trHeight w:val="200"/>
        </w:trPr>
        <w:tc>
          <w:tcPr>
            <w:tcW w:w="120" w:type="dxa"/>
            <w:vAlign w:val="bottom"/>
          </w:tcPr>
          <w:p>
            <w:pPr>
              <w:spacing w:after="0"/>
              <w:rPr>
                <w:sz w:val="17"/>
                <w:szCs w:val="17"/>
                <w:color w:val="auto"/>
              </w:rPr>
            </w:pPr>
          </w:p>
        </w:tc>
        <w:tc>
          <w:tcPr>
            <w:tcW w:w="65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Adjustments to reconcile net income to net cash flows provided by (used in) operating</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6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(35,391)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(46,854)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(42,367)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(41,746)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(32,353)</w:t>
            </w:r>
          </w:p>
        </w:tc>
        <w:tc>
          <w:tcPr>
            <w:tcW w:w="240" w:type="dxa"/>
            <w:vAlign w:val="bottom"/>
          </w:tcPr>
          <w:p>
            <w:pPr>
              <w:spacing w:after="0"/>
              <w:rPr>
                <w:sz w:val="19"/>
                <w:szCs w:val="19"/>
                <w:color w:val="auto"/>
              </w:rPr>
            </w:pPr>
          </w:p>
        </w:tc>
      </w:tr>
      <w:tr>
        <w:trPr>
          <w:trHeight w:val="255"/>
        </w:trPr>
        <w:tc>
          <w:tcPr>
            <w:tcW w:w="120" w:type="dxa"/>
            <w:vAlign w:val="bottom"/>
          </w:tcPr>
          <w:p>
            <w:pPr>
              <w:spacing w:after="0"/>
              <w:rPr>
                <w:sz w:val="22"/>
                <w:szCs w:val="22"/>
                <w:color w:val="auto"/>
              </w:rPr>
            </w:pPr>
          </w:p>
        </w:tc>
        <w:tc>
          <w:tcPr>
            <w:tcW w:w="6560" w:type="dxa"/>
            <w:vAlign w:val="bottom"/>
            <w:gridSpan w:val="2"/>
          </w:tcPr>
          <w:p>
            <w:pPr>
              <w:ind w:left="200"/>
              <w:spacing w:after="0" w:line="255"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38,576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39,122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38,029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33,423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29,195</w:t>
            </w:r>
          </w:p>
        </w:tc>
        <w:tc>
          <w:tcPr>
            <w:tcW w:w="240" w:type="dxa"/>
            <w:vAlign w:val="bottom"/>
          </w:tcPr>
          <w:p>
            <w:pPr>
              <w:spacing w:after="0"/>
              <w:rPr>
                <w:sz w:val="22"/>
                <w:szCs w:val="22"/>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16,914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20,113</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2,599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1,294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716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65,815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$ 78,761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$ 83,044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$ 91,989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84,785</w:t>
            </w:r>
          </w:p>
        </w:tc>
        <w:tc>
          <w:tcPr>
            <w:tcW w:w="240" w:type="dxa"/>
            <w:vAlign w:val="bottom"/>
          </w:tcPr>
          <w:p>
            <w:pPr>
              <w:spacing w:after="0"/>
              <w:rPr>
                <w:sz w:val="21"/>
                <w:szCs w:val="21"/>
                <w:color w:val="auto"/>
              </w:rPr>
            </w:pPr>
          </w:p>
        </w:tc>
      </w:tr>
      <w:tr>
        <w:trPr>
          <w:trHeight w:val="756"/>
        </w:trPr>
        <w:tc>
          <w:tcPr>
            <w:tcW w:w="120" w:type="dxa"/>
            <w:vAlign w:val="bottom"/>
          </w:tcPr>
          <w:p>
            <w:pPr>
              <w:spacing w:after="0"/>
              <w:rPr>
                <w:sz w:val="24"/>
                <w:szCs w:val="24"/>
                <w:color w:val="auto"/>
              </w:rPr>
            </w:pPr>
          </w:p>
        </w:tc>
        <w:tc>
          <w:tcPr>
            <w:tcW w:w="6400" w:type="dxa"/>
            <w:vAlign w:val="bottom"/>
            <w:tcBorders>
              <w:top w:val="single" w:sz="8" w:color="CCEEFF"/>
            </w:tcBorders>
          </w:tcPr>
          <w:p>
            <w:pPr>
              <w:ind w:left="5500"/>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64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6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-655320</wp:posOffset>
            </wp:positionV>
            <wp:extent cx="7026275"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2" w:lineRule="exact"/>
        <w:rPr>
          <w:sz w:val="20"/>
          <w:szCs w:val="20"/>
          <w:color w:val="auto"/>
        </w:rPr>
      </w:pPr>
    </w:p>
    <w:p>
      <w:pPr>
        <w:ind w:left="40" w:right="320" w:firstLine="268"/>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Overview-Introduction</w:t>
      </w:r>
    </w:p>
    <w:p>
      <w:pPr>
        <w:spacing w:after="0" w:line="119"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We are a holding company of specialty electrical construction service providers that was established in 1995 through the merger of long-standing specialty contractors. Through our subsidiaries, we serve the electric utility infrastructure and commercial construction markets. We manage and report our operations through two industry segments: T&amp;D and C&amp;I. We have operated in the T&amp;D industry since 1891. We are one of the largest contractors servicing the T&amp;D sector of the electric utility industry in the United States and provide T&amp;D services in western Canada. Our customers include many of the leading companies in the industry. We have provided C&amp;I electrical contracting services to facility owners and general contractors since 1912. We generally provide our C&amp;I services as a subcontractor to general contractors, but also contract directly with facility owners.</w:t>
      </w:r>
    </w:p>
    <w:p>
      <w:pPr>
        <w:spacing w:after="0" w:line="70" w:lineRule="exact"/>
        <w:rPr>
          <w:sz w:val="20"/>
          <w:szCs w:val="20"/>
          <w:color w:val="auto"/>
        </w:rPr>
      </w:pPr>
    </w:p>
    <w:p>
      <w:pPr>
        <w:ind w:left="40" w:right="60" w:firstLine="268"/>
        <w:spacing w:after="0" w:line="308" w:lineRule="auto"/>
        <w:rPr>
          <w:sz w:val="20"/>
          <w:szCs w:val="20"/>
          <w:color w:val="auto"/>
        </w:rPr>
      </w:pPr>
      <w:r>
        <w:rPr>
          <w:rFonts w:ascii="Arial" w:cs="Arial" w:eastAsia="Arial" w:hAnsi="Arial"/>
          <w:sz w:val="16"/>
          <w:szCs w:val="16"/>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complex projects.</w:t>
      </w:r>
    </w:p>
    <w:p>
      <w:pPr>
        <w:spacing w:after="0" w:line="43" w:lineRule="exact"/>
        <w:rPr>
          <w:sz w:val="20"/>
          <w:szCs w:val="20"/>
          <w:color w:val="auto"/>
        </w:rPr>
      </w:pPr>
    </w:p>
    <w:p>
      <w:pPr>
        <w:ind w:left="40" w:right="100" w:firstLine="268"/>
        <w:spacing w:after="0" w:line="302" w:lineRule="auto"/>
        <w:rPr>
          <w:sz w:val="20"/>
          <w:szCs w:val="20"/>
          <w:color w:val="auto"/>
        </w:rPr>
      </w:pPr>
      <w:r>
        <w:rPr>
          <w:rFonts w:ascii="Arial" w:cs="Arial" w:eastAsia="Arial" w:hAnsi="Arial"/>
          <w:sz w:val="17"/>
          <w:szCs w:val="17"/>
          <w:color w:val="auto"/>
        </w:rPr>
        <w:t>We had revenues for the year ended December 31, 2017 of $1.403 billion compared to $1.142 billion for the year ended December 31, 2016. For the year ended December 31, 2017, our net income was $21.2 million compared to $21.4 million for the year ended December 31, 2016.</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Overview-Segments</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i w:val="1"/>
          <w:iCs w:val="1"/>
          <w:color w:val="auto"/>
        </w:rPr>
        <w:t xml:space="preserve">Transmission and Distribution segment. </w:t>
      </w:r>
      <w:r>
        <w:rPr>
          <w:rFonts w:ascii="Arial" w:cs="Arial" w:eastAsia="Arial" w:hAnsi="Arial"/>
          <w:sz w:val="17"/>
          <w:szCs w:val="17"/>
          <w:color w:val="auto"/>
        </w:rPr>
        <w:t>Our T&amp;D segment provides comprehensive solutions to customers in the electric utility and the renewable energy</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Our T&amp;D segment generally serves the electric utility industry as a prime contractor to customers such as investor-owned utilities, cooperatives, private developers, government-funded utilities, independent power producers, independent transmission companies, industrial facility owners and other contractors. Our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The demand for transmission construction and maintenance services has remained strong over the past several years due to the modernization of the existing electric utility infrastructure and the need to integrate renewable generation into the electric power grid.</w:t>
      </w:r>
    </w:p>
    <w:p>
      <w:pPr>
        <w:spacing w:after="0" w:line="76" w:lineRule="exact"/>
        <w:rPr>
          <w:sz w:val="20"/>
          <w:szCs w:val="20"/>
          <w:color w:val="auto"/>
        </w:rPr>
      </w:pPr>
    </w:p>
    <w:p>
      <w:pPr>
        <w:ind w:left="40" w:right="140" w:firstLine="268"/>
        <w:spacing w:after="0" w:line="308" w:lineRule="auto"/>
        <w:rPr>
          <w:sz w:val="20"/>
          <w:szCs w:val="20"/>
          <w:color w:val="auto"/>
        </w:rPr>
      </w:pPr>
      <w:r>
        <w:rPr>
          <w:rFonts w:ascii="Arial" w:cs="Arial" w:eastAsia="Arial" w:hAnsi="Arial"/>
          <w:sz w:val="16"/>
          <w:szCs w:val="16"/>
          <w:color w:val="auto"/>
        </w:rPr>
        <w:t>For the year ended December 31, 2017, our T&amp;D revenues were $879.4 million, or 62.7%, of our revenue, compared to $819.0 million, or 71.7%, of our revenue for the year ended December 31, 2016 and $794.9 million, or 74.9%, of our revenue for the year ended December 31, 2015. Revenues from transmission projects represented 68.5%, 75.8%, and 73.9% of T&amp;D segment revenue for the years ended December 31, 2017, 2016 and 2015, respectively.</w:t>
      </w:r>
    </w:p>
    <w:p>
      <w:pPr>
        <w:spacing w:after="0" w:line="43" w:lineRule="exact"/>
        <w:rPr>
          <w:sz w:val="20"/>
          <w:szCs w:val="20"/>
          <w:color w:val="auto"/>
        </w:rPr>
      </w:pPr>
    </w:p>
    <w:p>
      <w:pPr>
        <w:ind w:left="40" w:right="200" w:firstLine="268"/>
        <w:spacing w:after="0" w:line="272" w:lineRule="auto"/>
        <w:rPr>
          <w:sz w:val="20"/>
          <w:szCs w:val="20"/>
          <w:color w:val="auto"/>
        </w:rPr>
      </w:pPr>
      <w:r>
        <w:rPr>
          <w:rFonts w:ascii="Arial" w:cs="Arial" w:eastAsia="Arial" w:hAnsi="Arial"/>
          <w:sz w:val="18"/>
          <w:szCs w:val="18"/>
          <w:color w:val="auto"/>
        </w:rPr>
        <w:t>Our T&amp;D segment also provides restoration services in response to hurricanes, ice storms or other storm related events, which typically account for less than 5% of our annual revenues.</w:t>
      </w:r>
    </w:p>
    <w:p>
      <w:pPr>
        <w:spacing w:after="0" w:line="67" w:lineRule="exact"/>
        <w:rPr>
          <w:sz w:val="20"/>
          <w:szCs w:val="20"/>
          <w:color w:val="auto"/>
        </w:rPr>
      </w:pPr>
    </w:p>
    <w:p>
      <w:pPr>
        <w:ind w:left="40" w:right="220" w:firstLine="268"/>
        <w:spacing w:after="0" w:line="260" w:lineRule="auto"/>
        <w:rPr>
          <w:sz w:val="20"/>
          <w:szCs w:val="20"/>
          <w:color w:val="auto"/>
        </w:rPr>
      </w:pPr>
      <w:r>
        <w:rPr>
          <w:rFonts w:ascii="Arial" w:cs="Arial" w:eastAsia="Arial" w:hAnsi="Arial"/>
          <w:sz w:val="18"/>
          <w:szCs w:val="18"/>
          <w:color w:val="auto"/>
        </w:rPr>
        <w:t>Measured by revenues in our T&amp;D segment, we provided 31.4%, 56.9% and 48.4% of our T&amp;D services under fixed-price contracts during the years ended December 31, 2017, 2016 and 2015, respectively. We also provide many services to our customers under multi-year maintenance service agreements and other variable service agreements.</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i w:val="1"/>
          <w:iCs w:val="1"/>
          <w:color w:val="auto"/>
        </w:rPr>
        <w:t xml:space="preserve">Commercial and Industrial segment. </w:t>
      </w:r>
      <w:r>
        <w:rPr>
          <w:rFonts w:ascii="Arial" w:cs="Arial" w:eastAsia="Arial" w:hAnsi="Arial"/>
          <w:sz w:val="18"/>
          <w:szCs w:val="18"/>
          <w:color w:val="auto"/>
        </w:rPr>
        <w:t>Our C&amp;I segment provides a wide range of services including design, installation, maintenance and repair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and industrial wiring, installation of traffic networks and the installation of bridge, roadway and tunnel lighting. In our C&amp;I segment, we generally provide our electric construction and maintenance services as a subcontractor to general contractors in the C&amp;I industry as well as directly to facility owners. Our C&amp;I operations are primarily in the western and northeastern United States and in western Canada where we have sufficient scale to deploy the level of resources necessary to achieve significant market share. We concentrate our efforts on projects where our technical and project management expertise are critical to successful and timely execution. The majority of C&amp;I contracts cover electrical contracting services for airports, hospitals, data centers, hotels, stadiums, convention centers, manufacturing plants, processing facilities, waste-water treatment facilities, mining facilities and transportation control and management systems.</w:t>
      </w:r>
    </w:p>
    <w:p>
      <w:pPr>
        <w:spacing w:after="0" w:line="85" w:lineRule="exact"/>
        <w:rPr>
          <w:sz w:val="20"/>
          <w:szCs w:val="20"/>
          <w:color w:val="auto"/>
        </w:rPr>
      </w:pPr>
    </w:p>
    <w:p>
      <w:pPr>
        <w:ind w:left="40" w:right="200" w:firstLine="268"/>
        <w:spacing w:after="0" w:line="302" w:lineRule="auto"/>
        <w:rPr>
          <w:sz w:val="20"/>
          <w:szCs w:val="20"/>
          <w:color w:val="auto"/>
        </w:rPr>
      </w:pPr>
      <w:r>
        <w:rPr>
          <w:rFonts w:ascii="Arial" w:cs="Arial" w:eastAsia="Arial" w:hAnsi="Arial"/>
          <w:sz w:val="17"/>
          <w:szCs w:val="17"/>
          <w:color w:val="auto"/>
        </w:rPr>
        <w:t>For the year ended December 31, 2017, our C&amp;I revenues were $523.9 million, or 37.3%, of our revenue, compared to $323.5 million, or 28.3%, of our revenue for the year ended December 31, 2016 and $266.8 million, or 25.1%, of our revenue for the year ended December 31, 2015.</w:t>
      </w:r>
    </w:p>
    <w:p>
      <w:pPr>
        <w:spacing w:after="0" w:line="45" w:lineRule="exact"/>
        <w:rPr>
          <w:sz w:val="20"/>
          <w:szCs w:val="20"/>
          <w:color w:val="auto"/>
        </w:rPr>
      </w:pPr>
    </w:p>
    <w:p>
      <w:pPr>
        <w:ind w:left="40" w:right="660" w:firstLine="268"/>
        <w:spacing w:after="0" w:line="272" w:lineRule="auto"/>
        <w:rPr>
          <w:sz w:val="20"/>
          <w:szCs w:val="20"/>
          <w:color w:val="auto"/>
        </w:rPr>
      </w:pPr>
      <w:r>
        <w:rPr>
          <w:rFonts w:ascii="Arial" w:cs="Arial" w:eastAsia="Arial" w:hAnsi="Arial"/>
          <w:sz w:val="18"/>
          <w:szCs w:val="18"/>
          <w:color w:val="auto"/>
        </w:rPr>
        <w:t>Measured by revenues in our C&amp;I segment, we provided 63.7%, 73.4% and 71.6% of our services under fixed-price contracts for the years ended December 31, 2017, 2016 and 2015,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Overview-Revenue and Gross Margins</w:t>
      </w:r>
    </w:p>
    <w:p>
      <w:pPr>
        <w:spacing w:after="0" w:line="119" w:lineRule="exact"/>
        <w:rPr>
          <w:sz w:val="20"/>
          <w:szCs w:val="20"/>
          <w:color w:val="auto"/>
        </w:rPr>
      </w:pPr>
    </w:p>
    <w:p>
      <w:pPr>
        <w:ind w:left="40" w:right="40" w:firstLine="268"/>
        <w:spacing w:after="0" w:line="26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on a percentage-of-completion method of accounting, which is commonly used in the construction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The percentage-of-completion accounting method results in recognizing contract revenues and earnings ratably over the contract term in proportion to our incurrence of contract costs. The profits or losses recognized on individual contracts are based on estimates of contract revenues, costs and profitability. Contract losses are recognized in full when determined, and contract profit estimates are adjusted based on ongoing reviews of contract profitability. Changes in job performance, labor costs, equipment costs, job conditions, weather, estimated profitability and final contract settlements may result in revisions to costs and income and their effects are recognized in the period in which the revisions are determined. We record adjustments to estimated costs of contracts when we believe the change in estimate is probable and the amounts can be reasonably estimated. These adjustments could result in either increases or decreases in profit margins.</w:t>
      </w:r>
    </w:p>
    <w:p>
      <w:pPr>
        <w:spacing w:after="0" w:line="71"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i w:val="1"/>
          <w:iCs w:val="1"/>
          <w:color w:val="auto"/>
        </w:rPr>
        <w:t xml:space="preserve">Gross Margins. </w:t>
      </w:r>
      <w:r>
        <w:rPr>
          <w:rFonts w:ascii="Arial" w:cs="Arial" w:eastAsia="Arial" w:hAnsi="Arial"/>
          <w:sz w:val="17"/>
          <w:szCs w:val="17"/>
          <w:color w:val="auto"/>
        </w:rPr>
        <w:t>Our gross margin can vary between periods as a result of many factors, some of which are beyond our control. These factors include: the</w:t>
      </w:r>
      <w:r>
        <w:rPr>
          <w:rFonts w:ascii="Arial" w:cs="Arial" w:eastAsia="Arial" w:hAnsi="Arial"/>
          <w:sz w:val="17"/>
          <w:szCs w:val="17"/>
          <w:i w:val="1"/>
          <w:iCs w:val="1"/>
          <w:color w:val="auto"/>
        </w:rPr>
        <w:t xml:space="preserve"> </w:t>
      </w:r>
      <w:r>
        <w:rPr>
          <w:rFonts w:ascii="Arial" w:cs="Arial" w:eastAsia="Arial" w:hAnsi="Arial"/>
          <w:sz w:val="17"/>
          <w:szCs w:val="17"/>
          <w:color w:val="auto"/>
        </w:rPr>
        <w:t>mix of revenue derived from the industries we serve, the size and duration of our projects, the mix of business conducted in different parts of the United States and Canada, the mix in service and maintenance work compared to new construction work, the amount of work that we subcontract, the amount of material we supply, changes in labor, equipment or insurance costs, seasonal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Overview-Economic, Industry and Market Factors</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spacing w:after="0" w:line="83" w:lineRule="exact"/>
        <w:rPr>
          <w:sz w:val="20"/>
          <w:szCs w:val="20"/>
          <w:color w:val="auto"/>
        </w:rPr>
      </w:pPr>
    </w:p>
    <w:p>
      <w:pPr>
        <w:ind w:left="40" w:right="220" w:firstLine="268"/>
        <w:spacing w:after="0" w:line="271" w:lineRule="auto"/>
        <w:rPr>
          <w:sz w:val="20"/>
          <w:szCs w:val="20"/>
          <w:color w:val="auto"/>
        </w:rPr>
      </w:pPr>
      <w:r>
        <w:rPr>
          <w:rFonts w:ascii="Arial" w:cs="Arial" w:eastAsia="Arial" w:hAnsi="Arial"/>
          <w:sz w:val="17"/>
          <w:szCs w:val="17"/>
          <w:color w:val="auto"/>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w:t>
      </w:r>
    </w:p>
    <w:p>
      <w:pPr>
        <w:spacing w:after="0" w:line="200" w:lineRule="exact"/>
        <w:rPr>
          <w:sz w:val="20"/>
          <w:szCs w:val="20"/>
          <w:color w:val="auto"/>
        </w:rPr>
      </w:pPr>
    </w:p>
    <w:p>
      <w:pPr>
        <w:spacing w:after="0" w:line="31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line="256" w:lineRule="auto"/>
        <w:rPr>
          <w:sz w:val="20"/>
          <w:szCs w:val="20"/>
          <w:color w:val="auto"/>
        </w:rPr>
      </w:pPr>
      <w:r>
        <w:rPr>
          <w:rFonts w:ascii="Arial" w:cs="Arial" w:eastAsia="Arial" w:hAnsi="Arial"/>
          <w:sz w:val="18"/>
          <w:szCs w:val="18"/>
          <w:color w:val="auto"/>
        </w:rPr>
        <w:t>affecting the industries we serve can impact demand for our services.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Overview-Seasonality and Nature of Our Work Environment</w:t>
      </w:r>
    </w:p>
    <w:p>
      <w:pPr>
        <w:spacing w:after="0" w:line="119" w:lineRule="exact"/>
        <w:rPr>
          <w:sz w:val="20"/>
          <w:szCs w:val="20"/>
          <w:color w:val="auto"/>
        </w:rPr>
      </w:pPr>
    </w:p>
    <w:p>
      <w:pPr>
        <w:ind w:left="40" w:right="20" w:firstLine="268"/>
        <w:spacing w:after="0" w:line="268" w:lineRule="auto"/>
        <w:rPr>
          <w:sz w:val="20"/>
          <w:szCs w:val="20"/>
          <w:color w:val="auto"/>
        </w:rPr>
      </w:pPr>
      <w:r>
        <w:rPr>
          <w:rFonts w:ascii="Arial" w:cs="Arial" w:eastAsia="Arial" w:hAnsi="Arial"/>
          <w:sz w:val="17"/>
          <w:szCs w:val="17"/>
          <w:color w:val="auto"/>
        </w:rPr>
        <w:t>Although our revenues are primarily driven by spending patterns in our customers’ industries, our revenues, particularly those derived from our T&amp;D segment, and results of operations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during which we can perform electrical line service work due to peak electrical demands caused by warmer weather conditions.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w:t>
      </w:r>
    </w:p>
    <w:p>
      <w:pPr>
        <w:spacing w:after="0" w:line="74" w:lineRule="exact"/>
        <w:rPr>
          <w:sz w:val="20"/>
          <w:szCs w:val="20"/>
          <w:color w:val="auto"/>
        </w:rPr>
      </w:pPr>
    </w:p>
    <w:p>
      <w:pPr>
        <w:ind w:left="40" w:right="100" w:firstLine="268"/>
        <w:spacing w:after="0" w:line="256" w:lineRule="auto"/>
        <w:rPr>
          <w:sz w:val="20"/>
          <w:szCs w:val="20"/>
          <w:color w:val="auto"/>
        </w:rPr>
      </w:pPr>
      <w:r>
        <w:rPr>
          <w:rFonts w:ascii="Arial" w:cs="Arial" w:eastAsia="Arial" w:hAnsi="Arial"/>
          <w:sz w:val="18"/>
          <w:szCs w:val="18"/>
          <w:color w:val="auto"/>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Outlook</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We continue to expect long-term growth in the transmission market, although the timing of large bids and subsequent construction is likely to be highly variable from year to year. We believe several multi-year transmission projects will be available for bid in the 2018 to 2019 timeframe. We also expect bidding activity on small and medium-sized transmission and distribution projects to continue in 2018. We are optimistic about overall economic growth and infrastructure spending and believe that improving industry activity will continue in both our transmission and distribution market segments and the drivers for utility investment will remain intact. We believe that the Tax Act, other regulatory reform, state renewable portfolio standards, the aging of the electric grid, and the general improvement of the economy will positively impact the level of spending by our customers. Although competition remains strong, we see these trends as positive factors for us in the future.</w:t>
      </w:r>
    </w:p>
    <w:p>
      <w:pPr>
        <w:spacing w:after="0" w:line="76"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Our business is directly impacted by the level of spending on T&amp;D infrastructure and the level of C&amp;I electrical construction activity across the United States and Canada. The electric grid is aging and requires significant upgrades and maintenance to meet current and future demands for electricity. In addition, regulatory pressures and low energy prices may accelerate the shut-down of coal-fired generating plants, which could result in the need for line upgrades and new substations. Over the past several years, many utilities have begun to implement plans to improve reliability of their transmission systems and reduce congestion. These utilities have started or planned new construction, line upgrades and maintenance projects on their transmission systems. We believe that our customers remain committed to the expansion and strengthening of their transmission infrastructure, with planning, engineering and funding for many of their projects already in place.</w:t>
      </w:r>
    </w:p>
    <w:p>
      <w:pPr>
        <w:spacing w:after="0" w:line="88"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State renewable portfolio standards, which set required or voluntary standards for how much electricity is to be generated from renewable energy sources, as well as general environmental concerns, are driving the development of renewable energy projects. The economic feasibility of renewable energy projects, and therefore the attractiveness of investment in the projects, may depend on the availability of tax incentive programs or the ability of the projects to take advantage of such incentives.</w:t>
      </w:r>
    </w:p>
    <w:p>
      <w:pPr>
        <w:spacing w:after="0" w:line="83" w:lineRule="exact"/>
        <w:rPr>
          <w:sz w:val="20"/>
          <w:szCs w:val="20"/>
          <w:color w:val="auto"/>
        </w:rPr>
      </w:pPr>
    </w:p>
    <w:p>
      <w:pPr>
        <w:ind w:left="40" w:firstLine="268"/>
        <w:spacing w:after="0" w:line="272" w:lineRule="auto"/>
        <w:rPr>
          <w:sz w:val="20"/>
          <w:szCs w:val="20"/>
          <w:color w:val="auto"/>
        </w:rPr>
      </w:pPr>
      <w:r>
        <w:rPr>
          <w:rFonts w:ascii="Arial" w:cs="Arial" w:eastAsia="Arial" w:hAnsi="Arial"/>
          <w:sz w:val="18"/>
          <w:szCs w:val="18"/>
          <w:color w:val="auto"/>
        </w:rPr>
        <w:t>As a result of reduced spending by United States utilities on their distribution systems for several years, we believe there is a need for sustained investment by utilities on their distribution systems to properly</w:t>
      </w:r>
    </w:p>
    <w:p>
      <w:pPr>
        <w:spacing w:after="0" w:line="200" w:lineRule="exact"/>
        <w:rPr>
          <w:sz w:val="20"/>
          <w:szCs w:val="20"/>
          <w:color w:val="auto"/>
        </w:rPr>
      </w:pP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60"/>
        <w:spacing w:after="0" w:line="287" w:lineRule="auto"/>
        <w:rPr>
          <w:sz w:val="20"/>
          <w:szCs w:val="20"/>
          <w:color w:val="auto"/>
        </w:rPr>
      </w:pPr>
      <w:r>
        <w:rPr>
          <w:rFonts w:ascii="Arial" w:cs="Arial" w:eastAsia="Arial" w:hAnsi="Arial"/>
          <w:sz w:val="16"/>
          <w:szCs w:val="16"/>
          <w:color w:val="auto"/>
        </w:rPr>
        <w:t>maintain or meet reliability requirements. In 2017, we saw increased bidding activity in some of our electric distribution markets, as economic conditions improved in those areas. We believe that continued recovery in the United States economy, and in the housing market in particular, over the next few years could provide additional stimulus for spending by our customers on their distribution systems. In addition, after hurricanes Harvey, Irma and, Maria, we believe there will be a push to strengthen utility distribution systems against major storm-related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2018 and we believe these opportunities will continue to be bid in a competitive market.</w:t>
      </w:r>
    </w:p>
    <w:p>
      <w:pPr>
        <w:spacing w:after="0" w:line="64" w:lineRule="exact"/>
        <w:rPr>
          <w:sz w:val="20"/>
          <w:szCs w:val="20"/>
          <w:color w:val="auto"/>
        </w:rPr>
      </w:pPr>
    </w:p>
    <w:p>
      <w:pPr>
        <w:ind w:left="40" w:right="40" w:firstLine="268"/>
        <w:spacing w:after="0" w:line="253" w:lineRule="auto"/>
        <w:rPr>
          <w:sz w:val="20"/>
          <w:szCs w:val="20"/>
          <w:color w:val="auto"/>
        </w:rPr>
      </w:pPr>
      <w:r>
        <w:rPr>
          <w:rFonts w:ascii="Arial" w:cs="Arial" w:eastAsia="Arial" w:hAnsi="Arial"/>
          <w:sz w:val="18"/>
          <w:szCs w:val="18"/>
          <w:color w:val="auto"/>
        </w:rPr>
        <w:t>We believe we will continue to see significant bidding activity on large transmission projects in 2018 and 2019. The timing of multi-year transmission project awards and substantial construction activity is difficult to predict due to regulatory requirements and right-of-way permits needed to commence construction. Significant construction on any large, multi-year projects awarded in 2018 will not likely occur until 2019. Bidding and construction activity for small to medium-size transmission projects and upgrades remains strong, and we expect this trend to continue in 2018, primarily due to reliability and economic drivers. Competition and the unpredictability of awards in the transmission market may impact our ability to maintain high utilization of equipment and manpower resources which is essential to maintaining contract margins.</w:t>
      </w:r>
    </w:p>
    <w:p>
      <w:pPr>
        <w:spacing w:after="0" w:line="86" w:lineRule="exact"/>
        <w:rPr>
          <w:sz w:val="20"/>
          <w:szCs w:val="20"/>
          <w:color w:val="auto"/>
        </w:rPr>
      </w:pPr>
    </w:p>
    <w:p>
      <w:pPr>
        <w:ind w:left="40" w:right="120" w:firstLine="268"/>
        <w:spacing w:after="0" w:line="272" w:lineRule="auto"/>
        <w:rPr>
          <w:sz w:val="20"/>
          <w:szCs w:val="20"/>
          <w:color w:val="auto"/>
        </w:rPr>
      </w:pPr>
      <w:r>
        <w:rPr>
          <w:rFonts w:ascii="Arial" w:cs="Arial" w:eastAsia="Arial" w:hAnsi="Arial"/>
          <w:sz w:val="18"/>
          <w:szCs w:val="18"/>
          <w:color w:val="auto"/>
        </w:rPr>
        <w:t>We saw increased activity in many of our C&amp;I markets in 2017 and expect to see continued improvement in bidding opportunities in our C&amp;I segment in 2018. We expect the long-term growth in our C&amp;I segment to generally track the economic growth of the regions we serve.</w:t>
      </w:r>
    </w:p>
    <w:p>
      <w:pPr>
        <w:spacing w:after="0" w:line="67" w:lineRule="exact"/>
        <w:rPr>
          <w:sz w:val="20"/>
          <w:szCs w:val="20"/>
          <w:color w:val="auto"/>
        </w:rPr>
      </w:pPr>
    </w:p>
    <w:p>
      <w:pPr>
        <w:jc w:val="both"/>
        <w:ind w:left="40" w:right="320" w:firstLine="268"/>
        <w:spacing w:after="0" w:line="283" w:lineRule="auto"/>
        <w:rPr>
          <w:sz w:val="20"/>
          <w:szCs w:val="20"/>
          <w:color w:val="auto"/>
        </w:rPr>
      </w:pPr>
      <w:r>
        <w:rPr>
          <w:rFonts w:ascii="Arial" w:cs="Arial" w:eastAsia="Arial" w:hAnsi="Arial"/>
          <w:sz w:val="17"/>
          <w:szCs w:val="17"/>
          <w:color w:val="auto"/>
        </w:rPr>
        <w:t>Through 2017, we continued the implementation of our three-pronged strategy of organic growth, strategic acquisitions and prudent capital returns. In June 2016, we entered into an amended and restated, five-year credit agreement, which expanded our borrowing capacity to $250 million. This new credit agreement provided added resources and flexibility to execute each of our three-pronged strategy initiatives.</w:t>
      </w:r>
    </w:p>
    <w:p>
      <w:pPr>
        <w:spacing w:after="0" w:line="60" w:lineRule="exact"/>
        <w:rPr>
          <w:sz w:val="20"/>
          <w:szCs w:val="20"/>
          <w:color w:val="auto"/>
        </w:rPr>
      </w:pPr>
    </w:p>
    <w:p>
      <w:pPr>
        <w:ind w:left="40" w:right="20" w:firstLine="268"/>
        <w:spacing w:after="0" w:line="252" w:lineRule="auto"/>
        <w:rPr>
          <w:sz w:val="20"/>
          <w:szCs w:val="20"/>
          <w:color w:val="auto"/>
        </w:rPr>
      </w:pPr>
      <w:r>
        <w:rPr>
          <w:rFonts w:ascii="Arial" w:cs="Arial" w:eastAsia="Arial" w:hAnsi="Arial"/>
          <w:sz w:val="18"/>
          <w:szCs w:val="18"/>
          <w:color w:val="auto"/>
        </w:rPr>
        <w:t>We continue to invest in developing key management and craft personnel in both our T&amp;D and C&amp;I markets and in procuring the specialty equipment and tooling needed to win and execute projects of all sizes and complexity. In 2017 and 2016, we invested in capital expenditures of approximately $30.8 million and $25.4 million, respectively. Most of our capital expenditures supported opportunities in our T&amp;D business. We plan to continue to evaluate our needs of additional equipment and tooling. Our investment strategy is based on our belief that spending in transmission and distribution projects will continue to remain strong over the next several years as electric utilities, cooperatives and municipalities make up for the lack of infrastructure spending in the past, combined with the overall need to integrate new generation into the electric power grid, and our belief that distribution demand will increase over the next several years.</w:t>
      </w:r>
    </w:p>
    <w:p>
      <w:pPr>
        <w:spacing w:after="0" w:line="88" w:lineRule="exact"/>
        <w:rPr>
          <w:sz w:val="20"/>
          <w:szCs w:val="20"/>
          <w:color w:val="auto"/>
        </w:rPr>
      </w:pPr>
    </w:p>
    <w:p>
      <w:pPr>
        <w:ind w:left="40" w:right="280" w:firstLine="268"/>
        <w:spacing w:after="0" w:line="336" w:lineRule="auto"/>
        <w:rPr>
          <w:sz w:val="20"/>
          <w:szCs w:val="20"/>
          <w:color w:val="auto"/>
        </w:rPr>
      </w:pPr>
      <w:r>
        <w:rPr>
          <w:rFonts w:ascii="Arial" w:cs="Arial" w:eastAsia="Arial" w:hAnsi="Arial"/>
          <w:sz w:val="16"/>
          <w:szCs w:val="16"/>
          <w:color w:val="auto"/>
        </w:rPr>
        <w:t>We ended 2017 with $150.1 million available under our line of credit. We believe that our financial position and operational strengths will enable us to manage the current challenges and uncertainties in the markets we serve and give us the flexibility to successfully execute our three-pronged strategy.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Understanding Backlog</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one-year to three-year duration from execution. Our backlog only includes projects that have a signed contract or an agreed upon work order to perform work on mutually accepted terms and conditions.</w:t>
      </w:r>
    </w:p>
    <w:p>
      <w:pPr>
        <w:spacing w:after="0" w:line="200" w:lineRule="exact"/>
        <w:rPr>
          <w:sz w:val="20"/>
          <w:szCs w:val="20"/>
          <w:color w:val="auto"/>
        </w:rPr>
      </w:pPr>
    </w:p>
    <w:p>
      <w:pPr>
        <w:spacing w:after="0" w:line="3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920" w:firstLine="268"/>
        <w:spacing w:after="0" w:line="388" w:lineRule="auto"/>
        <w:rPr>
          <w:sz w:val="20"/>
          <w:szCs w:val="20"/>
          <w:color w:val="auto"/>
        </w:rPr>
      </w:pPr>
      <w:r>
        <w:rPr>
          <w:rFonts w:ascii="Arial" w:cs="Arial" w:eastAsia="Arial" w:hAnsi="Arial"/>
          <w:sz w:val="18"/>
          <w:szCs w:val="18"/>
          <w:color w:val="auto"/>
        </w:rPr>
        <w:t xml:space="preserve">Changes in backlog from period to period are primarily the result of fluctuations in the timing of awards and revenue recognition of contracts. </w:t>
      </w:r>
      <w:r>
        <w:rPr>
          <w:rFonts w:ascii="Arial" w:cs="Arial" w:eastAsia="Arial" w:hAnsi="Arial"/>
          <w:sz w:val="18"/>
          <w:szCs w:val="18"/>
          <w:b w:val="1"/>
          <w:bCs w:val="1"/>
          <w:color w:val="auto"/>
        </w:rPr>
        <w:t>Understanding Gross Margins</w:t>
      </w:r>
    </w:p>
    <w:p>
      <w:pPr>
        <w:spacing w:after="0" w:line="1" w:lineRule="exact"/>
        <w:rPr>
          <w:sz w:val="20"/>
          <w:szCs w:val="20"/>
          <w:color w:val="auto"/>
        </w:rPr>
      </w:pPr>
    </w:p>
    <w:p>
      <w:pPr>
        <w:ind w:left="40" w:right="360" w:firstLine="268"/>
        <w:spacing w:after="0" w:line="256" w:lineRule="auto"/>
        <w:rPr>
          <w:sz w:val="20"/>
          <w:szCs w:val="20"/>
          <w:color w:val="auto"/>
        </w:rPr>
      </w:pPr>
      <w:r>
        <w:rPr>
          <w:rFonts w:ascii="Arial" w:cs="Arial" w:eastAsia="Arial" w:hAnsi="Arial"/>
          <w:sz w:val="18"/>
          <w:szCs w:val="18"/>
          <w:color w:val="auto"/>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spacing w:after="0" w:line="83" w:lineRule="exact"/>
        <w:rPr>
          <w:sz w:val="20"/>
          <w:szCs w:val="20"/>
          <w:color w:val="auto"/>
        </w:rPr>
      </w:pPr>
    </w:p>
    <w:p>
      <w:pPr>
        <w:ind w:left="40" w:right="100" w:firstLine="268"/>
        <w:spacing w:after="0" w:line="269" w:lineRule="auto"/>
        <w:rPr>
          <w:sz w:val="20"/>
          <w:szCs w:val="20"/>
          <w:color w:val="auto"/>
        </w:rPr>
      </w:pPr>
      <w:r>
        <w:rPr>
          <w:rFonts w:ascii="Arial" w:cs="Arial" w:eastAsia="Arial" w:hAnsi="Arial"/>
          <w:sz w:val="17"/>
          <w:szCs w:val="17"/>
          <w:i w:val="1"/>
          <w:iCs w:val="1"/>
          <w:color w:val="auto"/>
        </w:rPr>
        <w:t xml:space="preserve">Performance Risk. </w:t>
      </w:r>
      <w:r>
        <w:rPr>
          <w:rFonts w:ascii="Arial" w:cs="Arial" w:eastAsia="Arial" w:hAnsi="Arial"/>
          <w:sz w:val="17"/>
          <w:szCs w:val="17"/>
          <w:color w:val="auto"/>
        </w:rPr>
        <w:t>Margins may fluctuate because of the volume of work and the impacts of pricing and job productivity, which can be impacted both</w:t>
      </w:r>
      <w:r>
        <w:rPr>
          <w:rFonts w:ascii="Arial" w:cs="Arial" w:eastAsia="Arial" w:hAnsi="Arial"/>
          <w:sz w:val="17"/>
          <w:szCs w:val="17"/>
          <w:i w:val="1"/>
          <w:iCs w:val="1"/>
          <w:color w:val="auto"/>
        </w:rPr>
        <w:t xml:space="preserve"> </w:t>
      </w:r>
      <w:r>
        <w:rPr>
          <w:rFonts w:ascii="Arial" w:cs="Arial" w:eastAsia="Arial" w:hAnsi="Arial"/>
          <w:sz w:val="17"/>
          <w:szCs w:val="17"/>
          <w:color w:val="auto"/>
        </w:rPr>
        <w:t>favorably and negatively by customer decisions and crew productivity, as well as 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and regulatory delays.</w:t>
      </w:r>
    </w:p>
    <w:p>
      <w:pPr>
        <w:spacing w:after="0" w:line="76" w:lineRule="exact"/>
        <w:rPr>
          <w:sz w:val="20"/>
          <w:szCs w:val="20"/>
          <w:color w:val="auto"/>
        </w:rPr>
      </w:pPr>
    </w:p>
    <w:p>
      <w:pPr>
        <w:ind w:left="40" w:right="60" w:firstLine="268"/>
        <w:spacing w:after="0" w:line="267" w:lineRule="auto"/>
        <w:rPr>
          <w:sz w:val="20"/>
          <w:szCs w:val="20"/>
          <w:color w:val="auto"/>
        </w:rPr>
      </w:pPr>
      <w:r>
        <w:rPr>
          <w:rFonts w:ascii="Arial" w:cs="Arial" w:eastAsia="Arial" w:hAnsi="Arial"/>
          <w:sz w:val="17"/>
          <w:szCs w:val="17"/>
          <w:i w:val="1"/>
          <w:iCs w:val="1"/>
          <w:color w:val="auto"/>
        </w:rPr>
        <w:t xml:space="preserve">Revenue Mix and Contract Terms. </w:t>
      </w:r>
      <w:r>
        <w:rPr>
          <w:rFonts w:ascii="Arial" w:cs="Arial" w:eastAsia="Arial" w:hAnsi="Arial"/>
          <w:sz w:val="17"/>
          <w:szCs w:val="17"/>
          <w:color w:val="auto"/>
        </w:rPr>
        <w:t>The mix of revenue derived from the industries we serve will impact gross margins. Changes in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spending patterns in each of the industries we serve can cause an imbalance in supply 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contracts include shared savings clauses, in which we agree to share savings with our customer, and the timing of such savings can impact our margins. In addition, change orders and claims can impact our margins. Costs related to change orders are recognized in contract costs when incurred but revenue related to change orders is only recognized when it is probable that the change order will result in an addition to contract value and can be reliably estimated. Costs related to claims are recognized in contract costs when incurred, but revenue related to claims is recognized only to the extent that contract costs related to the claim have been incurred and when it is probable that the claim will result in an addition to contract value which can be reliably estimated. No profit is recognized on a claim until final settlement occurs.</w:t>
      </w:r>
    </w:p>
    <w:p>
      <w:pPr>
        <w:spacing w:after="0" w:line="79" w:lineRule="exact"/>
        <w:rPr>
          <w:sz w:val="20"/>
          <w:szCs w:val="20"/>
          <w:color w:val="auto"/>
        </w:rPr>
      </w:pPr>
    </w:p>
    <w:p>
      <w:pPr>
        <w:ind w:left="40" w:right="80" w:firstLine="268"/>
        <w:spacing w:after="0" w:line="286" w:lineRule="auto"/>
        <w:rPr>
          <w:sz w:val="20"/>
          <w:szCs w:val="20"/>
          <w:color w:val="auto"/>
        </w:rPr>
      </w:pPr>
      <w:r>
        <w:rPr>
          <w:rFonts w:ascii="Arial" w:cs="Arial" w:eastAsia="Arial" w:hAnsi="Arial"/>
          <w:sz w:val="16"/>
          <w:szCs w:val="16"/>
          <w:i w:val="1"/>
          <w:iCs w:val="1"/>
          <w:color w:val="auto"/>
        </w:rPr>
        <w:t xml:space="preserve">Seasonal, Weather and Geographical. </w:t>
      </w:r>
      <w:r>
        <w:rPr>
          <w:rFonts w:ascii="Arial" w:cs="Arial" w:eastAsia="Arial" w:hAnsi="Arial"/>
          <w:sz w:val="16"/>
          <w:szCs w:val="16"/>
          <w:color w:val="auto"/>
        </w:rPr>
        <w:t>Seasonal patterns, primarily related to weather conditions and the availability of system outages, can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impact on gross margins in a given period. It is typical during the winter months that parts of the country may experience snow or rainfall, which can affect our crews’ ability to work efficiently. Additionally, our T&amp;D customers often cannot remove their T&amp;D 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spacing w:after="0" w:line="65"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We include depreciation on equipment and capital lease amortization in contract costs. This is common practice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but can make comparability to other companies difficult. Over the last few years, we have spent a significant amount of capital on property, facilities and equipment, with the majority of such expenditures being used to purchase additional specialized equipment to enhance our fleet and to reduce our reliance on lease arrangements and short term equipment rentals. We believe the investment in specialized equipment helps to reduce our costs, improve our margins and provide us with valuable flexibility to take on additional and complex projects.</w:t>
      </w:r>
    </w:p>
    <w:p>
      <w:pPr>
        <w:spacing w:after="0" w:line="200" w:lineRule="exact"/>
        <w:rPr>
          <w:sz w:val="20"/>
          <w:szCs w:val="20"/>
          <w:color w:val="auto"/>
        </w:rPr>
      </w:pPr>
    </w:p>
    <w:p>
      <w:pPr>
        <w:spacing w:after="0" w:line="3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40" w:firstLine="268"/>
        <w:spacing w:after="0" w:line="271" w:lineRule="auto"/>
        <w:rPr>
          <w:sz w:val="20"/>
          <w:szCs w:val="20"/>
          <w:color w:val="auto"/>
        </w:rPr>
      </w:pPr>
      <w:r>
        <w:rPr>
          <w:rFonts w:ascii="Arial" w:cs="Arial" w:eastAsia="Arial" w:hAnsi="Arial"/>
          <w:sz w:val="17"/>
          <w:szCs w:val="17"/>
          <w:i w:val="1"/>
          <w:iCs w:val="1"/>
          <w:color w:val="auto"/>
        </w:rPr>
        <w:t xml:space="preserve">Service and Maintenance Compared to New Construction. </w:t>
      </w:r>
      <w:r>
        <w:rPr>
          <w:rFonts w:ascii="Arial" w:cs="Arial" w:eastAsia="Arial" w:hAnsi="Arial"/>
          <w:sz w:val="17"/>
          <w:szCs w:val="17"/>
          <w:color w:val="auto"/>
        </w:rPr>
        <w:t>In general, new construction work has a higher gross margin than maintenance and repair</w:t>
      </w:r>
      <w:r>
        <w:rPr>
          <w:rFonts w:ascii="Arial" w:cs="Arial" w:eastAsia="Arial" w:hAnsi="Arial"/>
          <w:sz w:val="17"/>
          <w:szCs w:val="17"/>
          <w:i w:val="1"/>
          <w:iCs w:val="1"/>
          <w:color w:val="auto"/>
        </w:rPr>
        <w:t xml:space="preserve"> </w:t>
      </w:r>
      <w:r>
        <w:rPr>
          <w:rFonts w:ascii="Arial" w:cs="Arial" w:eastAsia="Arial" w:hAnsi="Arial"/>
          <w:sz w:val="17"/>
          <w:szCs w:val="17"/>
          <w:color w:val="auto"/>
        </w:rPr>
        <w:t>work. New construction work is often obtained on a fixed-price basis, which carries a higher risk than other types of pricing arrangements because a contractor can bear the risk of increased expenses. As such, we generally bid fixed-price contracts with higher profit margins. We typically derive approximately 10% to 35%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w:t>
      </w:r>
    </w:p>
    <w:p>
      <w:pPr>
        <w:spacing w:after="0" w:line="70"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i w:val="1"/>
          <w:iCs w:val="1"/>
          <w:color w:val="auto"/>
        </w:rPr>
        <w:t xml:space="preserve">Material and Subcontract Costs. </w:t>
      </w:r>
      <w:r>
        <w:rPr>
          <w:rFonts w:ascii="Arial" w:cs="Arial" w:eastAsia="Arial" w:hAnsi="Arial"/>
          <w:sz w:val="18"/>
          <w:szCs w:val="18"/>
          <w:color w:val="auto"/>
        </w:rPr>
        <w:t>Projects that include a greater amount of material or subcontractor costs can experience lower overall project gross</w:t>
      </w:r>
      <w:r>
        <w:rPr>
          <w:rFonts w:ascii="Arial" w:cs="Arial" w:eastAsia="Arial" w:hAnsi="Arial"/>
          <w:sz w:val="18"/>
          <w:szCs w:val="18"/>
          <w:i w:val="1"/>
          <w:iCs w:val="1"/>
          <w:color w:val="auto"/>
        </w:rPr>
        <w:t xml:space="preserve"> </w:t>
      </w:r>
      <w:r>
        <w:rPr>
          <w:rFonts w:ascii="Arial" w:cs="Arial" w:eastAsia="Arial" w:hAnsi="Arial"/>
          <w:sz w:val="18"/>
          <w:szCs w:val="18"/>
          <w:color w:val="auto"/>
        </w:rPr>
        <w:t>margins as we typically add a lower mark-up to material and subcontractor costs in 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such shortfalls.</w:t>
      </w:r>
    </w:p>
    <w:p>
      <w:pPr>
        <w:spacing w:after="0" w:line="85" w:lineRule="exact"/>
        <w:rPr>
          <w:sz w:val="20"/>
          <w:szCs w:val="20"/>
          <w:color w:val="auto"/>
        </w:rPr>
      </w:pPr>
    </w:p>
    <w:p>
      <w:pPr>
        <w:ind w:left="40" w:right="660" w:firstLine="268"/>
        <w:spacing w:after="0" w:line="272" w:lineRule="auto"/>
        <w:rPr>
          <w:sz w:val="20"/>
          <w:szCs w:val="20"/>
          <w:color w:val="auto"/>
        </w:rPr>
      </w:pPr>
      <w:r>
        <w:rPr>
          <w:rFonts w:ascii="Arial" w:cs="Arial" w:eastAsia="Arial" w:hAnsi="Arial"/>
          <w:sz w:val="18"/>
          <w:szCs w:val="18"/>
          <w:i w:val="1"/>
          <w:iCs w:val="1"/>
          <w:color w:val="auto"/>
        </w:rPr>
        <w:t>Cost of Material</w:t>
      </w:r>
      <w:r>
        <w:rPr>
          <w:rFonts w:ascii="Arial" w:cs="Arial" w:eastAsia="Arial" w:hAnsi="Arial"/>
          <w:sz w:val="18"/>
          <w:szCs w:val="18"/>
          <w:color w:val="auto"/>
        </w:rPr>
        <w:t>. On fixed-price contracts where we are required to provide materials, our overall gross margin may be affected if we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material quantity or higher commodity costs.</w:t>
      </w:r>
    </w:p>
    <w:p>
      <w:pPr>
        <w:spacing w:after="0" w:line="67" w:lineRule="exact"/>
        <w:rPr>
          <w:sz w:val="20"/>
          <w:szCs w:val="20"/>
          <w:color w:val="auto"/>
        </w:rPr>
      </w:pPr>
    </w:p>
    <w:p>
      <w:pPr>
        <w:ind w:left="40" w:right="180" w:firstLine="268"/>
        <w:spacing w:after="0" w:line="272" w:lineRule="auto"/>
        <w:rPr>
          <w:sz w:val="20"/>
          <w:szCs w:val="20"/>
          <w:color w:val="auto"/>
        </w:rPr>
      </w:pPr>
      <w:r>
        <w:rPr>
          <w:rFonts w:ascii="Arial" w:cs="Arial" w:eastAsia="Arial" w:hAnsi="Arial"/>
          <w:sz w:val="18"/>
          <w:szCs w:val="18"/>
          <w:i w:val="1"/>
          <w:iCs w:val="1"/>
          <w:color w:val="auto"/>
        </w:rPr>
        <w:t xml:space="preserve">Materials versus Labor. </w:t>
      </w:r>
      <w:r>
        <w:rPr>
          <w:rFonts w:ascii="Arial" w:cs="Arial" w:eastAsia="Arial" w:hAnsi="Arial"/>
          <w:sz w:val="18"/>
          <w:szCs w:val="18"/>
          <w:color w:val="auto"/>
        </w:rPr>
        <w:t>Projects that include a greater amount of material cost can experience lower overall project gross margins as we typically add a</w:t>
      </w:r>
      <w:r>
        <w:rPr>
          <w:rFonts w:ascii="Arial" w:cs="Arial" w:eastAsia="Arial" w:hAnsi="Arial"/>
          <w:sz w:val="18"/>
          <w:szCs w:val="18"/>
          <w:i w:val="1"/>
          <w:iCs w:val="1"/>
          <w:color w:val="auto"/>
        </w:rPr>
        <w:t xml:space="preserve"> </w:t>
      </w:r>
      <w:r>
        <w:rPr>
          <w:rFonts w:ascii="Arial" w:cs="Arial" w:eastAsia="Arial" w:hAnsi="Arial"/>
          <w:sz w:val="18"/>
          <w:szCs w:val="18"/>
          <w:color w:val="auto"/>
        </w:rPr>
        <w:t>lower mark-up to material cost in our bids than what we would to our labor and equipment cost.</w:t>
      </w:r>
    </w:p>
    <w:p>
      <w:pPr>
        <w:spacing w:after="0" w:line="67" w:lineRule="exact"/>
        <w:rPr>
          <w:sz w:val="20"/>
          <w:szCs w:val="20"/>
          <w:color w:val="auto"/>
        </w:rPr>
      </w:pPr>
    </w:p>
    <w:p>
      <w:pPr>
        <w:ind w:left="40" w:right="160" w:firstLine="268"/>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Gross margins could be impacted by fluctuations in insurance accruals related to our deductibles and loss history in the period in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are made. We carry insurance policies, which are subject to high 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spacing w:after="0" w:line="83" w:lineRule="exact"/>
        <w:rPr>
          <w:sz w:val="20"/>
          <w:szCs w:val="20"/>
          <w:color w:val="auto"/>
        </w:rPr>
      </w:pPr>
    </w:p>
    <w:p>
      <w:pPr>
        <w:ind w:left="40" w:firstLine="268"/>
        <w:spacing w:after="0" w:line="253" w:lineRule="auto"/>
        <w:rPr>
          <w:sz w:val="20"/>
          <w:szCs w:val="20"/>
          <w:color w:val="auto"/>
        </w:rPr>
      </w:pPr>
      <w:r>
        <w:rPr>
          <w:rFonts w:ascii="Arial" w:cs="Arial" w:eastAsia="Arial" w:hAnsi="Arial"/>
          <w:sz w:val="18"/>
          <w:szCs w:val="18"/>
          <w:i w:val="1"/>
          <w:iCs w:val="1"/>
          <w:color w:val="auto"/>
        </w:rPr>
        <w:t xml:space="preserve">Fleet Utilization, Estimation, and Bidding. </w:t>
      </w:r>
      <w:r>
        <w:rPr>
          <w:rFonts w:ascii="Arial" w:cs="Arial" w:eastAsia="Arial" w:hAnsi="Arial"/>
          <w:sz w:val="18"/>
          <w:szCs w:val="18"/>
          <w:color w:val="auto"/>
        </w:rPr>
        <w:t>We operate a centrally-managed fleet in an effort to achieve the highest equipment utilization. We also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equipment rates which provide our business units 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w:t>
      </w:r>
    </w:p>
    <w:p>
      <w:pPr>
        <w:spacing w:after="0" w:line="86" w:lineRule="exact"/>
        <w:rPr>
          <w:sz w:val="20"/>
          <w:szCs w:val="20"/>
          <w:color w:val="auto"/>
        </w:rPr>
      </w:pPr>
    </w:p>
    <w:p>
      <w:pPr>
        <w:jc w:val="both"/>
        <w:ind w:left="40" w:right="80" w:firstLine="268"/>
        <w:spacing w:after="0" w:line="260" w:lineRule="auto"/>
        <w:rPr>
          <w:sz w:val="20"/>
          <w:szCs w:val="20"/>
          <w:color w:val="auto"/>
        </w:rPr>
      </w:pPr>
      <w:r>
        <w:rPr>
          <w:rFonts w:ascii="Arial" w:cs="Arial" w:eastAsia="Arial" w:hAnsi="Arial"/>
          <w:sz w:val="18"/>
          <w:szCs w:val="18"/>
          <w:color w:val="auto"/>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19" w:lineRule="exact"/>
        <w:rPr>
          <w:sz w:val="20"/>
          <w:szCs w:val="20"/>
          <w:color w:val="auto"/>
        </w:rPr>
      </w:pPr>
    </w:p>
    <w:p>
      <w:pPr>
        <w:ind w:left="40" w:right="100" w:firstLine="268"/>
        <w:spacing w:after="0" w:line="336" w:lineRule="auto"/>
        <w:rPr>
          <w:sz w:val="20"/>
          <w:szCs w:val="20"/>
          <w:color w:val="auto"/>
        </w:rPr>
      </w:pPr>
      <w:r>
        <w:rPr>
          <w:rFonts w:ascii="Arial" w:cs="Arial" w:eastAsia="Arial" w:hAnsi="Arial"/>
          <w:sz w:val="16"/>
          <w:szCs w:val="16"/>
          <w:color w:val="auto"/>
        </w:rPr>
        <w:t>Selling, general and administrative expenses consist primarily of compensation, related benefits and employee costs for management and administrative personnel, office rent and utilities, stock compensation, communications, professional fees, depreciation, IT expenses, marketing costs and bad debt expense.</w:t>
      </w:r>
    </w:p>
    <w:p>
      <w:pPr>
        <w:spacing w:after="0" w:line="200" w:lineRule="exact"/>
        <w:rPr>
          <w:sz w:val="20"/>
          <w:szCs w:val="20"/>
          <w:color w:val="auto"/>
        </w:rPr>
      </w:pPr>
    </w:p>
    <w:p>
      <w:pPr>
        <w:spacing w:after="0" w:line="27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statements of operations data and such data as a percentage of revenues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7373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37360"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39370</wp:posOffset>
            </wp:positionV>
            <wp:extent cx="41814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8147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8"/>
              </w:rPr>
              <w:t>For the year ended December 31,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95"/>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8"/>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Contract revenues</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7"/>
              </w:rPr>
              <w:t>1,403,317</w:t>
            </w:r>
          </w:p>
        </w:tc>
        <w:tc>
          <w:tcPr>
            <w:tcW w:w="8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1,142,487</w:t>
            </w:r>
          </w:p>
        </w:tc>
        <w:tc>
          <w:tcPr>
            <w:tcW w:w="8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1,061,681</w:t>
            </w:r>
          </w:p>
        </w:tc>
        <w:tc>
          <w:tcPr>
            <w:tcW w:w="9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100.0%</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costs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1,278,313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1,007,764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939,340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88.5</w:t>
            </w:r>
          </w:p>
        </w:tc>
      </w:tr>
      <w:tr>
        <w:trPr>
          <w:trHeight w:val="20"/>
        </w:trPr>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08"/>
        </w:trPr>
        <w:tc>
          <w:tcPr>
            <w:tcW w:w="4320" w:type="dxa"/>
            <w:vAlign w:val="bottom"/>
            <w:gridSpan w:val="2"/>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125,004</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134,723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122,341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98,611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96,424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79,186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r>
      <w:tr>
        <w:trPr>
          <w:trHeight w:val="21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499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886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r>
      <w:tr>
        <w:trPr>
          <w:trHeight w:val="20"/>
        </w:trPr>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08"/>
        </w:trPr>
        <w:tc>
          <w:tcPr>
            <w:tcW w:w="4320" w:type="dxa"/>
            <w:vAlign w:val="bottom"/>
            <w:gridSpan w:val="2"/>
          </w:tcPr>
          <w:p>
            <w:pPr>
              <w:ind w:left="38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29,558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38,754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44,841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5"/>
        </w:trPr>
        <w:tc>
          <w:tcPr>
            <w:tcW w:w="432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5"/>
        </w:trPr>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5"/>
        </w:trPr>
        <w:tc>
          <w:tcPr>
            <w:tcW w:w="432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(2,319)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885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8"/>
        </w:trPr>
        <w:tc>
          <w:tcPr>
            <w:tcW w:w="4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38,345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44,299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r>
      <w:tr>
        <w:trPr>
          <w:trHeight w:val="21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3,486</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16,914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16,997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8"/>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21,431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27,302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-1702435</wp:posOffset>
            </wp:positionV>
            <wp:extent cx="7026275" cy="144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-1149350</wp:posOffset>
            </wp:positionV>
            <wp:extent cx="7026275" cy="1447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119" w:lineRule="exact"/>
        <w:rPr>
          <w:sz w:val="20"/>
          <w:szCs w:val="20"/>
          <w:color w:val="auto"/>
        </w:rPr>
      </w:pPr>
    </w:p>
    <w:p>
      <w:pPr>
        <w:ind w:left="60" w:right="160" w:firstLine="268"/>
        <w:spacing w:after="0" w:line="260"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$260.8 million, or 22.8%, to $1.403 billion for the year ended December 31, 2017 from $1.142 billion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increase was primarily due to increased spending from existing C&amp;I customers, the WPE acquisition in late 2016, higher revenue from large transmission projects and an increase in distribution projects.</w:t>
      </w:r>
    </w:p>
    <w:p>
      <w:pPr>
        <w:spacing w:after="0" w:line="78" w:lineRule="exact"/>
        <w:rPr>
          <w:sz w:val="20"/>
          <w:szCs w:val="20"/>
          <w:color w:val="auto"/>
        </w:rPr>
      </w:pPr>
    </w:p>
    <w:p>
      <w:pPr>
        <w:ind w:left="60" w:firstLine="268"/>
        <w:spacing w:after="0" w:line="285"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decreased to 8.9% for the year ended December 31, 2017 from 11.8% for the year ended December 31, 2016.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gross margin was primarily due to write-downs on three projects. Two projects in the Midwest U.S. were significantly impacted by weather resulting in unanticipated costs associated with right-of-way access, lower productivity and increased road damage and repair requirements. As a result, we wrote down $4.8 million for these projects in 2017. One T&amp;D project in Canada experienced cost impacts mainly associated with project delays and schedule extensions. Although we are working with our clients to recover these costs, we have not recognized all of the revenues relating to various pending project claims and change orders, which resulted in write-downs on this project of $4.4 million. Margins were also negatively impacted from significant revenue on a large transmission project that had lower than average margins due to a high mix of material and subcontractor costs and lower than average margin on a certain distribution project, as well as costs associated with organic and acquisition growth. In addition, during 2017 we had a higher mix of revenue in our C&amp;I segment and distribution work, compared to transmission work which generally carries a higher margin. These impacts were partially offset by project efficiencies and settlements related to previously unrecognized revenues on a project claim and pending change orders. Changes in estimates of gross profit on certain projects, including those discussed above, resulted in gross margin decreases of 0.7% for the year ended December 31, 2017. Changes in estimates of gross profit on certain projects resulted in gross margin decreases of 0.2% for the year ended December 31, 2016.</w:t>
      </w:r>
    </w:p>
    <w:p>
      <w:pPr>
        <w:spacing w:after="0" w:line="61" w:lineRule="exact"/>
        <w:rPr>
          <w:sz w:val="20"/>
          <w:szCs w:val="20"/>
          <w:color w:val="auto"/>
        </w:rPr>
      </w:pPr>
    </w:p>
    <w:p>
      <w:pPr>
        <w:ind w:left="60" w:right="220" w:firstLine="268"/>
        <w:spacing w:after="0" w:line="27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$9.7 million, or 7.2%, to $125.0 million for year ended December 31, 2017 from $134.7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primarily due to lower overall gross margin, partially offset by higher revenue.</w:t>
      </w:r>
    </w:p>
    <w:p>
      <w:pPr>
        <w:spacing w:after="0" w:line="200" w:lineRule="exact"/>
        <w:rPr>
          <w:sz w:val="20"/>
          <w:szCs w:val="20"/>
          <w:color w:val="auto"/>
        </w:rPr>
      </w:pP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41" w:name="page42"/>
    <w:bookmarkEnd w:id="4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180" w:right="100" w:firstLine="268"/>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which were $98.6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increased $2.2 million from $96.4 million for the year ended December 31, 2016. The year-over-year increase was primarily due to $6.8 million of incremental costs associated with our expansion into new geographic markets and strategic acquisitions as well as higher payroll costs to support operations, largely offset by lower bonus and profit sharing costs. Additionally, $1.0 million of costs associated with activist investor activities were incurred in 2016. As a percentage of revenues, SG&amp;A decreased to 7.0% for the year ended December 31, 2017 from 8.4% for the year ended December 31, 2016.</w:t>
      </w:r>
    </w:p>
    <w:p>
      <w:pPr>
        <w:spacing w:after="0" w:line="53" w:lineRule="exact"/>
        <w:rPr>
          <w:sz w:val="20"/>
          <w:szCs w:val="20"/>
          <w:color w:val="auto"/>
        </w:rPr>
      </w:pPr>
    </w:p>
    <w:p>
      <w:pPr>
        <w:ind w:left="180" w:firstLine="268"/>
        <w:spacing w:after="0" w:line="260"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in the year ended December 31, 2017 were $3.7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 million in the year ended December 31, 2016. Gains from the sale of property and equipment are attributable to routine sales of property and equipment no longer useful or valuable to our ongoing operations.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$2.6 million for the year ended December 31, 2017 compared to $1.3 million for the year ended December 31,</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2016. This increase was primarily attributable to the amount and duration of borrowings outstanding under our line of credit during the year ended December</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 2017 as compared to the year ended December 31, 2016.</w:t>
      </w:r>
    </w:p>
    <w:p>
      <w:pPr>
        <w:spacing w:after="0" w:line="102" w:lineRule="exact"/>
        <w:rPr>
          <w:sz w:val="20"/>
          <w:szCs w:val="20"/>
          <w:color w:val="auto"/>
        </w:rPr>
      </w:pPr>
    </w:p>
    <w:p>
      <w:pPr>
        <w:ind w:left="180" w:right="80" w:firstLine="268"/>
        <w:spacing w:after="0" w:line="260"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was $2.3 million for the year ended December 31, 2017 compared to other income of $0.9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The change was largely due to a $2.3 million reversal of previously recognized contingent consideration related to the finalization of margin guarantees on certain contracts associated with the acquisition of WPE.</w:t>
      </w:r>
    </w:p>
    <w:p>
      <w:pPr>
        <w:spacing w:after="0" w:line="78" w:lineRule="exact"/>
        <w:rPr>
          <w:sz w:val="20"/>
          <w:szCs w:val="20"/>
          <w:color w:val="auto"/>
        </w:rPr>
      </w:pPr>
    </w:p>
    <w:p>
      <w:pPr>
        <w:ind w:left="180" w:right="120" w:firstLine="268"/>
        <w:spacing w:after="0" w:line="27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The provision for income taxes was $3.5 million for the year ended December 31, 2017, with an effective tax rate of 14.1%,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provision of $16.9 million for the year ended December 31, 2016, with an effective tax rate of 44.1%. The decrease in the tax rate for the year ended December 31, 2017 was primarily caused by the revaluation of the Company’s net deferred tax liabilities to reflect the recently enacted 21% federal corporate tax rate. In addition, we recognized excess tax benefits of approximately $0.8 million pertaining to the vesting of stock awards and the exercise of stock options. This was partially offset by our inability to utilize losses experienced in certain Canadian operations.</w:t>
      </w:r>
    </w:p>
    <w:p>
      <w:pPr>
        <w:spacing w:after="0" w:line="68" w:lineRule="exact"/>
        <w:rPr>
          <w:sz w:val="20"/>
          <w:szCs w:val="20"/>
          <w:color w:val="auto"/>
        </w:rPr>
      </w:pPr>
    </w:p>
    <w:p>
      <w:pPr>
        <w:ind w:left="180" w:firstLine="268"/>
        <w:spacing w:after="0" w:line="272"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to $21.2 million for the year ended December 31, 2017 from $21.4 million for the year ended December 31,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for the reasons stated above.</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Segment Results</w:t>
      </w:r>
    </w:p>
    <w:p>
      <w:pPr>
        <w:spacing w:after="0" w:line="119" w:lineRule="exact"/>
        <w:rPr>
          <w:sz w:val="20"/>
          <w:szCs w:val="20"/>
          <w:color w:val="auto"/>
        </w:rPr>
      </w:pPr>
    </w:p>
    <w:p>
      <w:pPr>
        <w:ind w:left="180" w:right="100" w:firstLine="268"/>
        <w:spacing w:after="0" w:line="272"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a percentage of total net sales and segment operating income as a percentage of segment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25634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349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9525</wp:posOffset>
            </wp:positionV>
            <wp:extent cx="3023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4"/>
              </w:rPr>
              <w:t>For the Year Ended December 31,</w:t>
            </w: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revenues:</w:t>
            </w:r>
          </w:p>
        </w:tc>
        <w:tc>
          <w:tcPr>
            <w:tcW w:w="2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Transmission &amp; Distribution</w:t>
            </w:r>
          </w:p>
        </w:tc>
        <w:tc>
          <w:tcPr>
            <w:tcW w:w="246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879,372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62.7%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818,972</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&amp; Industrial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523,945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323,515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1,403,317</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1,142,487</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Transmission &amp; Distribution</w:t>
            </w:r>
          </w:p>
        </w:tc>
        <w:tc>
          <w:tcPr>
            <w:tcW w:w="246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39,631</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63,459</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&amp; Industrial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25,048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64,679</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77,379</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(35,121)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2200" w:type="dxa"/>
            <w:vAlign w:val="bottom"/>
            <w:gridSpan w:val="2"/>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29,558</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38,754</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40" w:type="dxa"/>
            <w:vAlign w:val="bottom"/>
            <w:vMerge w:val="restart"/>
          </w:tcPr>
          <w:p>
            <w:pPr>
              <w:jc w:val="right"/>
              <w:ind w:right="51"/>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3780" w:type="dxa"/>
            <w:vAlign w:val="bottom"/>
            <w:tcBorders>
              <w:bottom w:val="single" w:sz="8" w:color="9A9A9A"/>
            </w:tcBorders>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780" w:type="dxa"/>
            <w:vAlign w:val="bottom"/>
            <w:tcBorders>
              <w:bottom w:val="single" w:sz="8" w:color="EEEEEE"/>
            </w:tcBorders>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-1677035</wp:posOffset>
            </wp:positionV>
            <wp:extent cx="7026275" cy="179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-1089660</wp:posOffset>
            </wp:positionV>
            <wp:extent cx="7026275" cy="144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-808355</wp:posOffset>
            </wp:positionV>
            <wp:extent cx="7026275" cy="179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Transmission &amp; Distribution</w:t>
      </w:r>
    </w:p>
    <w:p>
      <w:pPr>
        <w:spacing w:after="0" w:line="115" w:lineRule="exact"/>
        <w:rPr>
          <w:sz w:val="20"/>
          <w:szCs w:val="20"/>
          <w:color w:val="auto"/>
        </w:rPr>
      </w:pPr>
    </w:p>
    <w:p>
      <w:pPr>
        <w:jc w:val="both"/>
        <w:ind w:left="40" w:right="80" w:firstLine="268"/>
        <w:spacing w:after="0" w:line="260" w:lineRule="auto"/>
        <w:rPr>
          <w:sz w:val="20"/>
          <w:szCs w:val="20"/>
          <w:color w:val="auto"/>
        </w:rPr>
      </w:pPr>
      <w:r>
        <w:rPr>
          <w:rFonts w:ascii="Arial" w:cs="Arial" w:eastAsia="Arial" w:hAnsi="Arial"/>
          <w:sz w:val="18"/>
          <w:szCs w:val="18"/>
          <w:color w:val="auto"/>
        </w:rPr>
        <w:t>Revenues for our T&amp;D segment for the year ended December 31, 2017 were $879.4 million compared to $819.0 million for the year ended December 31, 2016, an increase of $60.4 million, or 7.4%. The increase in revenue was primarily due to higher revenue from large transmission projects and an increase in distribution projects.</w:t>
      </w:r>
    </w:p>
    <w:p>
      <w:pPr>
        <w:spacing w:after="0" w:line="78" w:lineRule="exact"/>
        <w:rPr>
          <w:sz w:val="20"/>
          <w:szCs w:val="20"/>
          <w:color w:val="auto"/>
        </w:rPr>
      </w:pPr>
    </w:p>
    <w:p>
      <w:pPr>
        <w:ind w:left="40" w:right="80" w:firstLine="268"/>
        <w:spacing w:after="0" w:line="260" w:lineRule="auto"/>
        <w:rPr>
          <w:sz w:val="20"/>
          <w:szCs w:val="20"/>
          <w:color w:val="auto"/>
        </w:rPr>
      </w:pPr>
      <w:r>
        <w:rPr>
          <w:rFonts w:ascii="Arial" w:cs="Arial" w:eastAsia="Arial" w:hAnsi="Arial"/>
          <w:sz w:val="18"/>
          <w:szCs w:val="18"/>
          <w:color w:val="auto"/>
        </w:rPr>
        <w:t>Revenues from transmission projects represented 68.5% and 75.8% of T&amp;D segment revenue for the years ended December 31, 2017 and 2016, respectively. Additionally, for the year ended December 31, 2017, measured by revenue in our T&amp;D segment, we provided 31.4% of our T&amp;D services under fixed-price contracts, as compared to 56.9% for the year ended December 31, 2016.</w:t>
      </w:r>
    </w:p>
    <w:p>
      <w:pPr>
        <w:spacing w:after="0" w:line="78"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color w:val="auto"/>
        </w:rPr>
        <w:t>Operating income for our T&amp;D segment for the year ended December 31, 2017 was $39.6 million compared to $63.4 million for the year ended December 31, 2016, a decrease of $23.8 million, or 37.5%. The decline in T&amp;D operating income was primarily due to lower margins caused by write-downs experienced on two projects in the Midwest U.S. and on one project in Canada. Margins were also negatively impacted from significant revenue on certain large transmission projects that have lower than average margins due to a high mix of material and subcontractor costs. Operating income, as a percentage of revenues, for our T&amp;D segment decreased to 4.5% for the year ended December 31, 2017 from 7.7% for the year ended December 31, 2016.</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Commercial &amp; Industrial</w:t>
      </w:r>
    </w:p>
    <w:p>
      <w:pPr>
        <w:spacing w:after="0" w:line="115" w:lineRule="exact"/>
        <w:rPr>
          <w:sz w:val="20"/>
          <w:szCs w:val="20"/>
          <w:color w:val="auto"/>
        </w:rPr>
      </w:pPr>
    </w:p>
    <w:p>
      <w:pPr>
        <w:ind w:left="40" w:right="140" w:firstLine="268"/>
        <w:spacing w:after="0" w:line="260" w:lineRule="auto"/>
        <w:rPr>
          <w:sz w:val="20"/>
          <w:szCs w:val="20"/>
          <w:color w:val="auto"/>
        </w:rPr>
      </w:pPr>
      <w:r>
        <w:rPr>
          <w:rFonts w:ascii="Arial" w:cs="Arial" w:eastAsia="Arial" w:hAnsi="Arial"/>
          <w:sz w:val="18"/>
          <w:szCs w:val="18"/>
          <w:color w:val="auto"/>
        </w:rPr>
        <w:t>Revenues for our C&amp;I segment for the year ended December 31, 2017 were $523.9 million compared to $323.5 million for the year ended December 31, 2016, an increase of $200.4 million, or 62.0%, primarily due to increased spending from existing customers, the WPE acquisition in late 2016 and organic expansion into new markets.</w:t>
      </w:r>
    </w:p>
    <w:p>
      <w:pPr>
        <w:spacing w:after="0" w:line="78" w:lineRule="exact"/>
        <w:rPr>
          <w:sz w:val="20"/>
          <w:szCs w:val="20"/>
          <w:color w:val="auto"/>
        </w:rPr>
      </w:pPr>
    </w:p>
    <w:p>
      <w:pPr>
        <w:ind w:left="40" w:right="680" w:firstLine="268"/>
        <w:spacing w:after="0" w:line="272" w:lineRule="auto"/>
        <w:rPr>
          <w:sz w:val="20"/>
          <w:szCs w:val="20"/>
          <w:color w:val="auto"/>
        </w:rPr>
      </w:pPr>
      <w:r>
        <w:rPr>
          <w:rFonts w:ascii="Arial" w:cs="Arial" w:eastAsia="Arial" w:hAnsi="Arial"/>
          <w:sz w:val="18"/>
          <w:szCs w:val="18"/>
          <w:color w:val="auto"/>
        </w:rPr>
        <w:t>Measured by revenue in our C&amp;I segment, we provided 63.7% of our services under fixed-price contracts for the year ended December 31, 2017, compared to 73.4% for the year ended December 31, 2016.</w:t>
      </w:r>
    </w:p>
    <w:p>
      <w:pPr>
        <w:spacing w:after="0" w:line="67" w:lineRule="exact"/>
        <w:rPr>
          <w:sz w:val="20"/>
          <w:szCs w:val="20"/>
          <w:color w:val="auto"/>
        </w:rPr>
      </w:pPr>
    </w:p>
    <w:p>
      <w:pPr>
        <w:ind w:left="40" w:right="60" w:firstLine="268"/>
        <w:spacing w:after="0" w:line="273" w:lineRule="auto"/>
        <w:rPr>
          <w:sz w:val="20"/>
          <w:szCs w:val="20"/>
          <w:color w:val="auto"/>
        </w:rPr>
      </w:pPr>
      <w:r>
        <w:rPr>
          <w:rFonts w:ascii="Arial" w:cs="Arial" w:eastAsia="Arial" w:hAnsi="Arial"/>
          <w:sz w:val="17"/>
          <w:szCs w:val="17"/>
          <w:color w:val="auto"/>
        </w:rPr>
        <w:t>Operating income for our C&amp;I segment for the year ended December 31, 2017 was $25.0 million compared to $13.9 million for the year ended December 31, 2016, an increase of $11.1 million, or 79.9%. The year-over-year increase in operating income compared to the year ended December 31, 2016 was primarily attributable to higher revenue from large projects, the settlement of a project claim that was previously not recognized in revenue and improved productivity on certain jobs. These were partially offset by costs associated with organic and acquisition growth. As a percentage of revenues, operating income for our C&amp;I segment was 4.8% and 4.3% for the years ended December 31, 2017 and 2016, respectively.</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Corporate</w:t>
      </w:r>
    </w:p>
    <w:p>
      <w:pPr>
        <w:spacing w:after="0" w:line="115" w:lineRule="exact"/>
        <w:rPr>
          <w:sz w:val="20"/>
          <w:szCs w:val="20"/>
          <w:color w:val="auto"/>
        </w:rPr>
      </w:pPr>
    </w:p>
    <w:p>
      <w:pPr>
        <w:ind w:left="40" w:right="340" w:firstLine="268"/>
        <w:spacing w:after="0" w:line="272" w:lineRule="auto"/>
        <w:rPr>
          <w:sz w:val="20"/>
          <w:szCs w:val="20"/>
          <w:color w:val="auto"/>
        </w:rPr>
      </w:pPr>
      <w:r>
        <w:rPr>
          <w:rFonts w:ascii="Arial" w:cs="Arial" w:eastAsia="Arial" w:hAnsi="Arial"/>
          <w:sz w:val="18"/>
          <w:szCs w:val="18"/>
          <w:color w:val="auto"/>
        </w:rPr>
        <w:t>The decrease in corporate expenses in 2017 was primarily attributable to lower bonus and profit sharing costs offset by higher payroll costs to support operations. Additionally in 2016 we incurred $1.0 million of costs associated with activist investor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p>
      <w:pPr>
        <w:spacing w:after="0" w:line="119" w:lineRule="exact"/>
        <w:rPr>
          <w:sz w:val="20"/>
          <w:szCs w:val="20"/>
          <w:color w:val="auto"/>
        </w:rPr>
      </w:pPr>
    </w:p>
    <w:p>
      <w:pPr>
        <w:ind w:left="40" w:right="80" w:firstLine="268"/>
        <w:spacing w:after="0" w:line="260"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$80.8 million, or 7.6%, to $1.142 billion for the year ended December 31, 2016 from $1.062 billion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The increase in revenue was primarily due to organic and acquisitive growth, partially offset by a decline in revenue in some geographic areas.</w:t>
      </w:r>
    </w:p>
    <w:p>
      <w:pPr>
        <w:spacing w:after="0" w:line="78" w:lineRule="exact"/>
        <w:rPr>
          <w:sz w:val="20"/>
          <w:szCs w:val="20"/>
          <w:color w:val="auto"/>
        </w:rPr>
      </w:pPr>
    </w:p>
    <w:p>
      <w:pPr>
        <w:ind w:left="40" w:right="120" w:firstLine="268"/>
        <w:spacing w:after="0" w:line="253"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increased to 11.8% for the year ended December 31, 2016 from 11.5% for the year ended December 31, 2015.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gross margin was largely due to improved performance on certain jobs as well as favorable close-outs on several projects, partially offset by costs associated with unrecognized revenue related to pending project claims and change orders. We also experienced inclement weather in some of our markets and lower productivity on other jobs. Changes in estimates of gross profit on certain projects resulted in gross margin decreases of 0.2% for the year ended December 31, 2016. Changes in estimates of gross profit on certain projects, including large claims or change orders, resulted in gross margin increases of 0.5% for the year ended December 31, 2015.</w:t>
      </w:r>
    </w:p>
    <w:p>
      <w:pPr>
        <w:spacing w:after="0" w:line="200" w:lineRule="exact"/>
        <w:rPr>
          <w:sz w:val="20"/>
          <w:szCs w:val="20"/>
          <w:color w:val="auto"/>
        </w:rPr>
      </w:pPr>
    </w:p>
    <w:p>
      <w:pPr>
        <w:spacing w:after="0" w:line="34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3" w:name="page44"/>
    <w:bookmarkEnd w:id="4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180" w:right="60" w:firstLine="268"/>
        <w:spacing w:after="0" w:line="27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$12.4 million, or 10.1%, to $134.7 million for year ended December 31, 2016 from $122.3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primarily due to higher revenue and improved gross margin.</w:t>
      </w:r>
    </w:p>
    <w:p>
      <w:pPr>
        <w:spacing w:after="0" w:line="67" w:lineRule="exact"/>
        <w:rPr>
          <w:sz w:val="20"/>
          <w:szCs w:val="20"/>
          <w:color w:val="auto"/>
        </w:rPr>
      </w:pPr>
    </w:p>
    <w:p>
      <w:pPr>
        <w:ind w:left="180" w:right="40" w:firstLine="268"/>
        <w:spacing w:after="0" w:line="25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which were $96.4 million for the year ended December 31, 2016, increased $17.2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$79.2 million for the year ended December 31, 2015. The increase in SG&amp;A was primarily due to $9.4 million of costs associated with our organic and acquisitive growth strategies. Bonus and profit sharing costs as well as personnel costs to support our overall growth increased in 2016. We also incurred $1.0 million of costs associated with responding to activist investors. The impact of these increases were partially offset by a $1.4 million cost related to an executive officer transition in the fourth quarter of 2015. As a percentage of revenues, SG&amp;A increased to 8.4% for the year ended December 31, 2016 from 7.5% for the year ended December 31, 2015.</w:t>
      </w:r>
    </w:p>
    <w:p>
      <w:pPr>
        <w:spacing w:after="0" w:line="86" w:lineRule="exact"/>
        <w:rPr>
          <w:sz w:val="20"/>
          <w:szCs w:val="20"/>
          <w:color w:val="auto"/>
        </w:rPr>
      </w:pPr>
    </w:p>
    <w:p>
      <w:pPr>
        <w:ind w:left="180" w:firstLine="268"/>
        <w:spacing w:after="0" w:line="260"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in the year ended December 31, 2016 were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$2.3 million in the year ended December 31, 2015. Gains from the sale of property and equipment are attributable to routine sales of property and equipment no longer useful or valuable to our ongoing operations.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$1.3 million for the year ended December 31, 2016 compared to $0.7 million in the year ended December 31, 2015.</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increase is primarily attributable to the borrowings on our line of credit during the year ended December 31, 2016.</w:t>
      </w:r>
    </w:p>
    <w:p>
      <w:pPr>
        <w:spacing w:after="0" w:line="102" w:lineRule="exact"/>
        <w:rPr>
          <w:sz w:val="20"/>
          <w:szCs w:val="20"/>
          <w:color w:val="auto"/>
        </w:rPr>
      </w:pPr>
    </w:p>
    <w:p>
      <w:pPr>
        <w:ind w:left="180" w:right="60" w:firstLine="268"/>
        <w:spacing w:after="0" w:line="260"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was $0.9 million for the year ended December 31, 2016 compared to $0.2 million in the year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is primarily attributable to contingent consideration related to margin guarantees of $1.4 million recognized on certain contracts associated with the acquisition of WPE.</w:t>
      </w:r>
    </w:p>
    <w:p>
      <w:pPr>
        <w:spacing w:after="0" w:line="78" w:lineRule="exact"/>
        <w:rPr>
          <w:sz w:val="20"/>
          <w:szCs w:val="20"/>
          <w:color w:val="auto"/>
        </w:rPr>
      </w:pPr>
    </w:p>
    <w:p>
      <w:pPr>
        <w:ind w:left="180" w:right="40" w:firstLine="268"/>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provision for income taxes was $16.9 million for the year ended December 31, 2016, with an effective tax rate of 44.1%,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provision of $17.0 million for the year ended December 31, 2015, with an effective tax rate of 38.4%. The increase in the effective tax rate was primarily caused by the year-to-date impact of lower domestic activities deductions and changes in the mix of business between states. In addition, our effective tax rate increased due to the deferred tax balance true-up for changes in the blended state rate, as well as the valuation allowance for the deferred tax assets on certain Canadian subsidiaries.</w:t>
      </w:r>
    </w:p>
    <w:p>
      <w:pPr>
        <w:spacing w:after="0" w:line="85" w:lineRule="exact"/>
        <w:rPr>
          <w:sz w:val="20"/>
          <w:szCs w:val="20"/>
          <w:color w:val="auto"/>
        </w:rPr>
      </w:pPr>
    </w:p>
    <w:p>
      <w:pPr>
        <w:ind w:left="180" w:firstLine="268"/>
        <w:spacing w:after="0" w:line="272"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to $21.4 million for the year ended December 31, 2016 from $27.3 million for the year ended December 31,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for the reasons stated above.</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Segment Results</w:t>
      </w:r>
    </w:p>
    <w:p>
      <w:pPr>
        <w:spacing w:after="0" w:line="119" w:lineRule="exact"/>
        <w:rPr>
          <w:sz w:val="20"/>
          <w:szCs w:val="20"/>
          <w:color w:val="auto"/>
        </w:rPr>
      </w:pPr>
    </w:p>
    <w:p>
      <w:pPr>
        <w:ind w:left="180" w:right="100" w:firstLine="268"/>
        <w:spacing w:after="0" w:line="272"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a percentage of total net sales and segment operating income as a percentage of segment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25634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349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9525</wp:posOffset>
            </wp:positionV>
            <wp:extent cx="30232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4"/>
              </w:rPr>
              <w:t>For the Year Ended December 31,</w:t>
            </w: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revenues:</w:t>
            </w:r>
          </w:p>
        </w:tc>
        <w:tc>
          <w:tcPr>
            <w:tcW w:w="2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Transmission &amp; Distribution</w:t>
            </w:r>
          </w:p>
        </w:tc>
        <w:tc>
          <w:tcPr>
            <w:tcW w:w="246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818,972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794,898</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&amp; Industrial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323,515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266,783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1,142,487</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1,061,681</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Transmission &amp; Distribution</w:t>
            </w:r>
          </w:p>
        </w:tc>
        <w:tc>
          <w:tcPr>
            <w:tcW w:w="246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63,459</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63,155</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&amp; Industrial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77,379</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76,747</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(38,625)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(31,906)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2200" w:type="dxa"/>
            <w:vAlign w:val="bottom"/>
            <w:gridSpan w:val="2"/>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38,754</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44,841</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40" w:type="dxa"/>
            <w:vAlign w:val="bottom"/>
            <w:vMerge w:val="restart"/>
          </w:tcPr>
          <w:p>
            <w:pPr>
              <w:jc w:val="right"/>
              <w:ind w:right="51"/>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3780" w:type="dxa"/>
            <w:vAlign w:val="bottom"/>
            <w:tcBorders>
              <w:bottom w:val="single" w:sz="8" w:color="9A9A9A"/>
            </w:tcBorders>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780" w:type="dxa"/>
            <w:vAlign w:val="bottom"/>
            <w:tcBorders>
              <w:bottom w:val="single" w:sz="8" w:color="EEEEEE"/>
            </w:tcBorders>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-1677035</wp:posOffset>
            </wp:positionV>
            <wp:extent cx="7026275" cy="1790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-1089660</wp:posOffset>
            </wp:positionV>
            <wp:extent cx="7026275" cy="144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-808355</wp:posOffset>
            </wp:positionV>
            <wp:extent cx="7026275" cy="1790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20"/>
          </w:cols>
          <w:pgMar w:left="240" w:top="787" w:right="1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Transmission &amp; Distribution</w:t>
      </w:r>
    </w:p>
    <w:p>
      <w:pPr>
        <w:spacing w:after="0" w:line="115" w:lineRule="exact"/>
        <w:rPr>
          <w:sz w:val="20"/>
          <w:szCs w:val="20"/>
          <w:color w:val="auto"/>
        </w:rPr>
      </w:pPr>
    </w:p>
    <w:p>
      <w:pPr>
        <w:ind w:left="40" w:right="80" w:firstLine="268"/>
        <w:spacing w:after="0" w:line="260" w:lineRule="auto"/>
        <w:rPr>
          <w:sz w:val="20"/>
          <w:szCs w:val="20"/>
          <w:color w:val="auto"/>
        </w:rPr>
      </w:pPr>
      <w:r>
        <w:rPr>
          <w:rFonts w:ascii="Arial" w:cs="Arial" w:eastAsia="Arial" w:hAnsi="Arial"/>
          <w:sz w:val="18"/>
          <w:szCs w:val="18"/>
          <w:color w:val="auto"/>
        </w:rPr>
        <w:t>Revenues for our T&amp;D segment for the year ended December 31, 2016 were $819.0 million compared to $794.9 million for the year ended December 31, 2015, an increase of $24.1 million, or 3.0%. The increase in revenue was primarily due to organic and acquisitive growth, partially offset by a decline in revenue in some geographic areas.</w:t>
      </w:r>
    </w:p>
    <w:p>
      <w:pPr>
        <w:spacing w:after="0" w:line="78" w:lineRule="exact"/>
        <w:rPr>
          <w:sz w:val="20"/>
          <w:szCs w:val="20"/>
          <w:color w:val="auto"/>
        </w:rPr>
      </w:pPr>
    </w:p>
    <w:p>
      <w:pPr>
        <w:ind w:left="40" w:right="80" w:firstLine="268"/>
        <w:spacing w:after="0" w:line="260" w:lineRule="auto"/>
        <w:rPr>
          <w:sz w:val="20"/>
          <w:szCs w:val="20"/>
          <w:color w:val="auto"/>
        </w:rPr>
      </w:pPr>
      <w:r>
        <w:rPr>
          <w:rFonts w:ascii="Arial" w:cs="Arial" w:eastAsia="Arial" w:hAnsi="Arial"/>
          <w:sz w:val="18"/>
          <w:szCs w:val="18"/>
          <w:color w:val="auto"/>
        </w:rPr>
        <w:t>Revenues from transmission projects represented 75.8% and 73.9% of T&amp;D segment revenue for the years ended December 31, 2016 and 2015, respectively. Additionally, for the year ended December 31, 2016, measured by revenue in our T&amp;D segment, we provided 56.9% of our T&amp;D services under fixed-price contracts, as compared to 48.4% for the year ended December 31, 2015.</w:t>
      </w:r>
    </w:p>
    <w:p>
      <w:pPr>
        <w:spacing w:after="0" w:line="78"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color w:val="auto"/>
        </w:rPr>
        <w:t>Operating income for our T&amp;D segment for the year ended December 31, 2016 was $63.4 million compared to $63.1 million for the year ended December 31, 2015, an increase of $0.3 million, or 0.5%. The slight increase in operating income was primarily due to operating income associated with our expansion in new geographic markets and favorable project close-outs, offset by lower margins due to unrecognized revenue on a pending project claim and change orders, inclement weather in some of our markets and lower productivity on other jobs. Operating income, as a percentage of revenues, for our T&amp;D segment decreased to 7.7% for the year ended December 31, 2016 from 7.9% for the year ended December 31, 2015.</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Commercial &amp; Industrial</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Revenues for our C&amp;I segment for the year ended December 31, 2016 were $323.5 million compared to $266.8 million for the year ended December 31, 2015, an increase of $56.7 million, or 21.3%, primarily due to organic and acquisitive expansion in new markets. For the year ended December 31, 2016, measured by revenue in our C&amp;I segment, we provided 73.4% of our services under fixed-price contracts, as compared to 71.6% for the year ended December 31, 2015.</w:t>
      </w:r>
    </w:p>
    <w:p>
      <w:pPr>
        <w:spacing w:after="0" w:line="83"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Operating income for our C&amp;I segment for the year ended December 31, 2016 was $13.9 million compared to $13.6 million for the year ended December 31, 2015, an increase of $0.3 million, or 2.4%. The year-over-year increase in operating income compared to the year ended December 31, 2015 was primarily attributable to higher revenues and margins experienced on certain projects, partially offset by productivity below our previous estimates and unrecognized revenue related to a pending project claim. Our expansion in new geographic markets provided positive operating income, albeit at a lower operating percentage of revenue, due to slower market penetration experienced in certain geographic areas and contingent consideration related to margin guarantees of $1.4 million classified as other income. As a percentage of revenues, operating income for our C&amp;I segment decreased to 4.3% for the year ended December 31, 2016 from 5.1% for the year ended December 31, 2015.</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Corporate</w:t>
      </w:r>
    </w:p>
    <w:p>
      <w:pPr>
        <w:spacing w:after="0" w:line="115" w:lineRule="exact"/>
        <w:rPr>
          <w:sz w:val="20"/>
          <w:szCs w:val="20"/>
          <w:color w:val="auto"/>
        </w:rPr>
      </w:pPr>
    </w:p>
    <w:p>
      <w:pPr>
        <w:ind w:left="40" w:right="60" w:firstLine="268"/>
        <w:spacing w:after="0" w:line="260" w:lineRule="auto"/>
        <w:rPr>
          <w:sz w:val="20"/>
          <w:szCs w:val="20"/>
          <w:color w:val="auto"/>
        </w:rPr>
      </w:pPr>
      <w:r>
        <w:rPr>
          <w:rFonts w:ascii="Arial" w:cs="Arial" w:eastAsia="Arial" w:hAnsi="Arial"/>
          <w:sz w:val="18"/>
          <w:szCs w:val="18"/>
          <w:color w:val="auto"/>
        </w:rPr>
        <w:t>The increase in corporate expenses in 2016 was primarily attributable to higher bonus and profit sharing costs as well as additional support costs. Additionally we incurred $1.0 million of costs associated with activist investor activities. The impact of these increases were partially offset by a $1.4 million cost related to an executive officer transition in the fourth quarter of 2015.</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left="40" w:right="20" w:firstLine="268"/>
        <w:spacing w:after="0" w:line="268" w:lineRule="auto"/>
        <w:rPr>
          <w:sz w:val="20"/>
          <w:szCs w:val="20"/>
          <w:color w:val="auto"/>
        </w:rPr>
      </w:pPr>
      <w:r>
        <w:rPr>
          <w:rFonts w:ascii="Arial" w:cs="Arial" w:eastAsia="Arial" w:hAnsi="Arial"/>
          <w:sz w:val="17"/>
          <w:szCs w:val="17"/>
          <w:color w:val="auto"/>
        </w:rPr>
        <w:t>As of December 31, 2017 and 2016, we had working capital of $191.2 million and $146.7 million, respectively. We define working capital as current assets less current liabilities. During the year ended December 31, 2017, operating activities of our business used cash of $9.2 million, compared to providing cash of $54.5 million for the year ended December 31, 2016. Cash flow from operations is primarily influenced by demand for our services, operating margins, timing of contract performance and the type of services we provide to our customers. Net cash used in or provided by operating activities is driven by our net income adjusted for changes in operating assets and liabilities and non-cash items including, but not limited to, depreciation and amortization, stock-based compensation, deferred income taxes, and the gain on sale of property and equipment. The $63.7 million year-over-year decline in net cash from operating activities was primarily due to unfavorable changes in various working capital accounts (accounts receivable, costs and estimated earnings in excess of billings on uncompleted contracts, accounts payable and billings in excess of costs and estimated earnings on uncompleted contracts) of $31.3 million. Additionally, a $19.0 million decline</w:t>
      </w:r>
    </w:p>
    <w:p>
      <w:pPr>
        <w:spacing w:after="0" w:line="200" w:lineRule="exact"/>
        <w:rPr>
          <w:sz w:val="20"/>
          <w:szCs w:val="20"/>
          <w:color w:val="auto"/>
        </w:rPr>
      </w:pPr>
    </w:p>
    <w:p>
      <w:pPr>
        <w:spacing w:after="0" w:line="33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340"/>
        <w:spacing w:after="0" w:line="272" w:lineRule="auto"/>
        <w:rPr>
          <w:sz w:val="20"/>
          <w:szCs w:val="20"/>
          <w:color w:val="auto"/>
        </w:rPr>
      </w:pPr>
      <w:r>
        <w:rPr>
          <w:rFonts w:ascii="Arial" w:cs="Arial" w:eastAsia="Arial" w:hAnsi="Arial"/>
          <w:sz w:val="18"/>
          <w:szCs w:val="18"/>
          <w:color w:val="auto"/>
        </w:rPr>
        <w:t>in other liabilities, primarily attributable to lower bonus and profit sharing accruals and a $9.3 million unfavorable non-cash change in deferred taxes, due primarily to the Tax Act.</w:t>
      </w:r>
    </w:p>
    <w:p>
      <w:pPr>
        <w:spacing w:after="0" w:line="67"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The changes in various working capital accounts are generally due to normal timing fluctuations in our operating activities. The unfavorable year-over-year cash flow change of $18.7 million in accounts receivable was mainly due to an increase in volume and the timing of billings and collections. The net unfavorable change of $3.4 million in costs and estimated earnings in excess of billings on uncompleted contracts and billings in excess of costs and estimated earnings on uncompleted contracts was primarily due to significant change orders and/or claims that had been included as contract price adjustments on certain contracts which were in the process of being negotiated in the normal course of business. The change in accounts payable was due to fluctuations in the construction cycle and the billing and payment terms of specific contracts.</w:t>
      </w:r>
    </w:p>
    <w:p>
      <w:pPr>
        <w:spacing w:after="0" w:line="70" w:lineRule="exact"/>
        <w:rPr>
          <w:sz w:val="20"/>
          <w:szCs w:val="20"/>
          <w:color w:val="auto"/>
        </w:rPr>
      </w:pPr>
    </w:p>
    <w:p>
      <w:pPr>
        <w:ind w:left="40" w:right="20" w:firstLine="268"/>
        <w:spacing w:after="0" w:line="298" w:lineRule="auto"/>
        <w:rPr>
          <w:sz w:val="20"/>
          <w:szCs w:val="20"/>
          <w:color w:val="auto"/>
        </w:rPr>
      </w:pPr>
      <w:r>
        <w:rPr>
          <w:rFonts w:ascii="Arial" w:cs="Arial" w:eastAsia="Arial" w:hAnsi="Arial"/>
          <w:sz w:val="16"/>
          <w:szCs w:val="16"/>
          <w:color w:val="auto"/>
        </w:rPr>
        <w:t>During the years ended December 31, 2017 and 2016 we used net cash of $26.5 million and $34.1 million, respectively, in investing activities. The $26.5 million of cash used in investing activities in the year ended December 31, 2017 consisted of $30.8 million for capital expenditures, partially offset by $4.3 million of proceeds from the sale of equipment. The $34.1 million of cash used in investing activities in the year ended December 31, 2016 consisted of $25.3 million for capital expenditures and $12.1 million to acquire WPE, partially offset by $3.3 million of proceeds from the sale of equipment.</w:t>
      </w:r>
    </w:p>
    <w:p>
      <w:pPr>
        <w:spacing w:after="0" w:line="52"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Financing activities provided cash of $16.9 million, compared to $35.5 million of cash used, during the years ended December 31, 2017 and 2016, respectively. The $16.9 million of cash provided in financing activities in the year ended December 31, 2017 consisted primarily of $19.9 million of borrowings under our revolving lines of credit, partially offset by $3.0 million of share repurchases. The $3.0 million of cash used to purchase shares of our common stock consisted of $2.2 million to purchase shares surrendered by employees to satisfy employee tax obligations under our stock compensation program and $0.8 million purchased under our share repurchase program. The $35.5 million of cash used in financing activities in the year ended December 31, 2016, consisted primarily of $101.5 million of cash used to purchase shares of our common stock, as well as $1.0 million of cash used to pay debt issuance costs related to our new line of credit. These uses of cash were partially offset by borrowings of $59.1 million, $6.2 million of proceeds from stock options and $2.3 million of tax benefits related to our stock compensation programs.</w:t>
      </w:r>
    </w:p>
    <w:p>
      <w:pPr>
        <w:spacing w:after="0" w:line="71" w:lineRule="exact"/>
        <w:rPr>
          <w:sz w:val="20"/>
          <w:szCs w:val="20"/>
          <w:color w:val="auto"/>
        </w:rPr>
      </w:pPr>
    </w:p>
    <w:p>
      <w:pPr>
        <w:ind w:left="40" w:right="100" w:firstLine="268"/>
        <w:spacing w:after="0" w:line="260" w:lineRule="auto"/>
        <w:rPr>
          <w:sz w:val="20"/>
          <w:szCs w:val="20"/>
          <w:color w:val="auto"/>
        </w:rPr>
      </w:pPr>
      <w:r>
        <w:rPr>
          <w:rFonts w:ascii="Arial" w:cs="Arial" w:eastAsia="Arial" w:hAnsi="Arial"/>
          <w:sz w:val="18"/>
          <w:szCs w:val="18"/>
          <w:color w:val="auto"/>
        </w:rPr>
        <w:t>During 2017, the Company’s Board of Directors approved a $20.0 million share repurchase program that began when the previous share repurchase program expired on August 15, 2017. As of December 31, 2017, we had $19.3 million of remaining availability to purchase shares under the program, which continues in effect until August 15, 2018, or until the authorized funds are exhausted.</w:t>
      </w:r>
    </w:p>
    <w:p>
      <w:pPr>
        <w:spacing w:after="0" w:line="78" w:lineRule="exact"/>
        <w:rPr>
          <w:sz w:val="20"/>
          <w:szCs w:val="20"/>
          <w:color w:val="auto"/>
        </w:rPr>
      </w:pPr>
    </w:p>
    <w:p>
      <w:pPr>
        <w:ind w:left="40" w:right="160" w:firstLine="268"/>
        <w:spacing w:after="0" w:line="256" w:lineRule="auto"/>
        <w:rPr>
          <w:sz w:val="20"/>
          <w:szCs w:val="20"/>
          <w:color w:val="auto"/>
        </w:rPr>
      </w:pPr>
      <w:r>
        <w:rPr>
          <w:rFonts w:ascii="Arial" w:cs="Arial" w:eastAsia="Arial" w:hAnsi="Arial"/>
          <w:sz w:val="18"/>
          <w:szCs w:val="18"/>
          <w:color w:val="auto"/>
        </w:rPr>
        <w:t>We anticipate that our $150.1 million borrowing availability under our credit facility and future cash flow from operations will provide sufficient cash to enable us to meet our future operating needs, debt service requirements, capital expenditures, acquisition and joint venture opportunities, and share repurchases. Although we believe that we have adequate cash and availability under our Credit Agreement to meet our liquidity needs, any large projects or acquisitions may require additional capital.</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Debt Instruments</w:t>
      </w:r>
    </w:p>
    <w:p>
      <w:pPr>
        <w:spacing w:after="0" w:line="115"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On June 30, 2016, we entered into a five-year amended and restated credit agreement (the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w:t>
      </w:r>
    </w:p>
    <w:p>
      <w:pPr>
        <w:spacing w:after="0" w:line="200" w:lineRule="exact"/>
        <w:rPr>
          <w:sz w:val="20"/>
          <w:szCs w:val="20"/>
          <w:color w:val="auto"/>
        </w:rPr>
      </w:pPr>
    </w:p>
    <w:p>
      <w:pPr>
        <w:spacing w:after="0" w:line="31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360"/>
        <w:spacing w:after="0" w:line="260" w:lineRule="auto"/>
        <w:rPr>
          <w:sz w:val="20"/>
          <w:szCs w:val="20"/>
          <w:color w:val="auto"/>
        </w:rPr>
      </w:pPr>
      <w:r>
        <w:rPr>
          <w:rFonts w:ascii="Arial" w:cs="Arial" w:eastAsia="Arial" w:hAnsi="Arial"/>
          <w:sz w:val="18"/>
          <w:szCs w:val="18"/>
          <w:color w:val="auto"/>
        </w:rPr>
        <w:t>amounts outstanding under the Facility may be accelerated and may become or be declared immediately due and payable. Borrowings under the Credit Agreement were used to refinance existing debt and are expected to be used for working capital, capital expenditures, acquisitions, stock repurchases and other general corporate purposes.</w:t>
      </w:r>
    </w:p>
    <w:p>
      <w:pPr>
        <w:spacing w:after="0" w:line="78" w:lineRule="exact"/>
        <w:rPr>
          <w:sz w:val="20"/>
          <w:szCs w:val="20"/>
          <w:color w:val="auto"/>
        </w:rPr>
      </w:pPr>
    </w:p>
    <w:p>
      <w:pPr>
        <w:ind w:left="40" w:right="80" w:firstLine="268"/>
        <w:spacing w:after="0" w:line="289"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our consolidated leverage ratio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the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59" w:lineRule="exact"/>
        <w:rPr>
          <w:sz w:val="20"/>
          <w:szCs w:val="20"/>
          <w:color w:val="auto"/>
        </w:rPr>
      </w:pPr>
    </w:p>
    <w:p>
      <w:pPr>
        <w:ind w:left="40" w:right="80" w:firstLine="268"/>
        <w:spacing w:after="0" w:line="252" w:lineRule="auto"/>
        <w:rPr>
          <w:sz w:val="20"/>
          <w:szCs w:val="20"/>
          <w:color w:val="auto"/>
        </w:rPr>
      </w:pPr>
      <w:r>
        <w:rPr>
          <w:rFonts w:ascii="Arial" w:cs="Arial" w:eastAsia="Arial" w:hAnsi="Arial"/>
          <w:sz w:val="18"/>
          <w:szCs w:val="18"/>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covenants under the Credit Agreement as of December 31, 2017.</w:t>
      </w:r>
    </w:p>
    <w:p>
      <w:pPr>
        <w:spacing w:after="0" w:line="88" w:lineRule="exact"/>
        <w:rPr>
          <w:sz w:val="20"/>
          <w:szCs w:val="20"/>
          <w:color w:val="auto"/>
        </w:rPr>
      </w:pPr>
    </w:p>
    <w:p>
      <w:pPr>
        <w:ind w:left="40" w:right="320" w:firstLine="268"/>
        <w:spacing w:after="0" w:line="272" w:lineRule="auto"/>
        <w:rPr>
          <w:sz w:val="20"/>
          <w:szCs w:val="20"/>
          <w:color w:val="auto"/>
        </w:rPr>
      </w:pPr>
      <w:r>
        <w:rPr>
          <w:rFonts w:ascii="Arial" w:cs="Arial" w:eastAsia="Arial" w:hAnsi="Arial"/>
          <w:sz w:val="18"/>
          <w:szCs w:val="18"/>
          <w:color w:val="auto"/>
        </w:rPr>
        <w:t>Prior to the amendment and restatement of the Credit Agreement, we had a five-year syndicated credit agreement with a facility of $175.0 million that provided funds for revolving loans and the issuance of letters of credit and up to $25.0 million for swingline loans.</w:t>
      </w:r>
    </w:p>
    <w:p>
      <w:pPr>
        <w:spacing w:after="0" w:line="67" w:lineRule="exact"/>
        <w:rPr>
          <w:sz w:val="20"/>
          <w:szCs w:val="20"/>
          <w:color w:val="auto"/>
        </w:rPr>
      </w:pPr>
    </w:p>
    <w:p>
      <w:pPr>
        <w:ind w:left="40" w:right="140" w:firstLine="268"/>
        <w:spacing w:after="0" w:line="260" w:lineRule="auto"/>
        <w:rPr>
          <w:sz w:val="20"/>
          <w:szCs w:val="20"/>
          <w:color w:val="auto"/>
        </w:rPr>
      </w:pPr>
      <w:r>
        <w:rPr>
          <w:rFonts w:ascii="Arial" w:cs="Arial" w:eastAsia="Arial" w:hAnsi="Arial"/>
          <w:sz w:val="18"/>
          <w:szCs w:val="18"/>
          <w:color w:val="auto"/>
        </w:rPr>
        <w:t>As of December 31, 2017, we had $79.0 million of debt outstanding under the Facility and irrevocable standby letters of credit outstanding of approximately $20.9 million. As of December 31, 2016, we had $59.1 million of debt outstanding under the Facility and irrevocable standby letters of credit outstanding of approximately $23.7 million.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in our balance sheets. Our significant off-balance sheet transactions include liabilities associated with non-cancelable operating leases, letter of credit obligations and bond guarantees entered into in the normal course of business. We have not engaged in any off-balance sheet financing arrangements through special purpose entities.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Leases</w:t>
      </w:r>
    </w:p>
    <w:p>
      <w:pPr>
        <w:spacing w:after="0" w:line="115" w:lineRule="exact"/>
        <w:rPr>
          <w:sz w:val="20"/>
          <w:szCs w:val="20"/>
          <w:color w:val="auto"/>
        </w:rPr>
      </w:pPr>
    </w:p>
    <w:p>
      <w:pPr>
        <w:ind w:left="40" w:firstLine="268"/>
        <w:spacing w:after="0" w:line="298" w:lineRule="auto"/>
        <w:rPr>
          <w:sz w:val="20"/>
          <w:szCs w:val="20"/>
          <w:color w:val="auto"/>
        </w:rPr>
      </w:pPr>
      <w:r>
        <w:rPr>
          <w:rFonts w:ascii="Arial" w:cs="Arial" w:eastAsia="Arial" w:hAnsi="Arial"/>
          <w:sz w:val="16"/>
          <w:szCs w:val="16"/>
          <w:color w:val="auto"/>
        </w:rPr>
        <w:t>We enter into non-cancelable leases for some of our facility, vehicle and equipment needs. These leases allow us to conserve cash by paying a monthly lease rental fee for the use of facilities, vehicles and equipment rather than purchasing them. Leases are accounted for as operating or capital leases, depending on the terms of the lease. We may decide to cancel or terminate a lease before the end of its term, in which case we are typically liable to the lessor for the remaining lease payments under the term of the lease. At December 31, 2017, we had no leases with residual value guarantees.</w:t>
      </w:r>
    </w:p>
    <w:p>
      <w:pPr>
        <w:spacing w:after="0" w:line="52" w:lineRule="exact"/>
        <w:rPr>
          <w:sz w:val="20"/>
          <w:szCs w:val="20"/>
          <w:color w:val="auto"/>
        </w:rPr>
      </w:pPr>
    </w:p>
    <w:p>
      <w:pPr>
        <w:ind w:left="40" w:right="400" w:firstLine="268"/>
        <w:spacing w:after="0" w:line="302" w:lineRule="auto"/>
        <w:rPr>
          <w:sz w:val="20"/>
          <w:szCs w:val="20"/>
          <w:color w:val="auto"/>
        </w:rPr>
      </w:pPr>
      <w:r>
        <w:rPr>
          <w:rFonts w:ascii="Arial" w:cs="Arial" w:eastAsia="Arial" w:hAnsi="Arial"/>
          <w:sz w:val="17"/>
          <w:szCs w:val="17"/>
          <w:color w:val="auto"/>
        </w:rPr>
        <w:t>We typically have purchase options on the equipment underlying our long-term operating leases and many of our short-term rental arrangements. We exercise some of these purchase options when the need for equipment is on-going and the purchase option price is attractive.</w:t>
      </w: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Purchase Commitments for Construction Equipment</w:t>
      </w:r>
    </w:p>
    <w:p>
      <w:pPr>
        <w:spacing w:after="0" w:line="115" w:lineRule="exact"/>
        <w:rPr>
          <w:sz w:val="20"/>
          <w:szCs w:val="20"/>
          <w:color w:val="auto"/>
        </w:rPr>
      </w:pPr>
    </w:p>
    <w:p>
      <w:pPr>
        <w:ind w:left="40" w:right="280" w:firstLine="268"/>
        <w:spacing w:after="0" w:line="272" w:lineRule="auto"/>
        <w:rPr>
          <w:sz w:val="20"/>
          <w:szCs w:val="20"/>
          <w:color w:val="auto"/>
        </w:rPr>
      </w:pPr>
      <w:r>
        <w:rPr>
          <w:rFonts w:ascii="Arial" w:cs="Arial" w:eastAsia="Arial" w:hAnsi="Arial"/>
          <w:sz w:val="18"/>
          <w:szCs w:val="18"/>
          <w:color w:val="auto"/>
        </w:rPr>
        <w:t>As of December 31, 2017, we had approximately $12.3 million in outstanding purchase obligations for certain construction equipment to be paid, with cash outlay scheduled to occur over the first nine months of 2018.</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Letters of Credit</w:t>
      </w:r>
    </w:p>
    <w:p>
      <w:pPr>
        <w:spacing w:after="0" w:line="115"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that it is likely that any claims will be made under any letter of credit.</w:t>
      </w:r>
    </w:p>
    <w:p>
      <w:pPr>
        <w:spacing w:after="0" w:line="76" w:lineRule="exact"/>
        <w:rPr>
          <w:sz w:val="20"/>
          <w:szCs w:val="20"/>
          <w:color w:val="auto"/>
        </w:rPr>
      </w:pPr>
    </w:p>
    <w:p>
      <w:pPr>
        <w:ind w:left="40" w:right="140" w:firstLine="268"/>
        <w:spacing w:after="0" w:line="273" w:lineRule="auto"/>
        <w:rPr>
          <w:sz w:val="20"/>
          <w:szCs w:val="20"/>
          <w:color w:val="auto"/>
        </w:rPr>
      </w:pPr>
      <w:r>
        <w:rPr>
          <w:rFonts w:ascii="Arial" w:cs="Arial" w:eastAsia="Arial" w:hAnsi="Arial"/>
          <w:sz w:val="17"/>
          <w:szCs w:val="17"/>
          <w:color w:val="auto"/>
        </w:rPr>
        <w:t>At December 31, 2017, we had $20.9 million in irrevocable standby letters of credit outstanding under our Credit Agreement, including $17.6 million, at an interest rate of 1.125%, related to the Company’s payment obligation under its insurance programs and approximately $3.3 million, at an interest rate of 0.625%, related to contract performance obligations. At December 31, 2016, we had $23.7 million in irrevocable standby letters of credit outstanding under our Credit Agreement, including $17.6 million, at an interest rate of 1.125%, related to the Company’s payment obligation under its insurance programs and approximately $6.1 million, at an interest rate of 0.625%, related to contract performance obligations.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Performance and Payment Bonds and Parent Guarantees</w:t>
      </w:r>
    </w:p>
    <w:p>
      <w:pPr>
        <w:spacing w:after="0" w:line="115" w:lineRule="exact"/>
        <w:rPr>
          <w:sz w:val="20"/>
          <w:szCs w:val="20"/>
          <w:color w:val="auto"/>
        </w:rPr>
      </w:pPr>
    </w:p>
    <w:p>
      <w:pPr>
        <w:ind w:left="40" w:firstLine="268"/>
        <w:spacing w:after="0" w:line="286"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December 31, 2017, an aggregate of approximately $497.0 million in original face amount of bonds issued by our sureties were outstanding. Our estimated remaining cost to complete these bonded projects was approximately $144.5 million as of December 31, 2017.</w:t>
      </w:r>
    </w:p>
    <w:p>
      <w:pPr>
        <w:spacing w:after="0" w:line="61" w:lineRule="exact"/>
        <w:rPr>
          <w:sz w:val="20"/>
          <w:szCs w:val="20"/>
          <w:color w:val="auto"/>
        </w:rPr>
      </w:pPr>
    </w:p>
    <w:p>
      <w:pPr>
        <w:jc w:val="both"/>
        <w:ind w:left="40" w:right="180" w:firstLine="268"/>
        <w:spacing w:after="0" w:line="308"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Indemnities</w:t>
      </w:r>
    </w:p>
    <w:p>
      <w:pPr>
        <w:spacing w:after="0" w:line="115" w:lineRule="exact"/>
        <w:rPr>
          <w:sz w:val="20"/>
          <w:szCs w:val="20"/>
          <w:color w:val="auto"/>
        </w:rPr>
      </w:pPr>
    </w:p>
    <w:p>
      <w:pPr>
        <w:ind w:left="40" w:right="280" w:firstLine="268"/>
        <w:spacing w:after="0" w:line="260" w:lineRule="auto"/>
        <w:rPr>
          <w:sz w:val="20"/>
          <w:szCs w:val="20"/>
          <w:color w:val="auto"/>
        </w:rPr>
      </w:pPr>
      <w:r>
        <w:rPr>
          <w:rFonts w:ascii="Arial" w:cs="Arial" w:eastAsia="Arial" w:hAnsi="Arial"/>
          <w:sz w:val="18"/>
          <w:szCs w:val="18"/>
          <w:color w:val="auto"/>
        </w:rPr>
        <w:t>From time to time, pursuant to our service arrangements, we indemnify our customers for claims related to the services we provide under those service arrangements. These indemnification obligations may subject us to indemnity claims, liabilities and related litigation. We are not aware of any material unrecorded liabilities for asserted claims in connection with these indemnification obligations.</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our future contractual obligations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584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84325" cy="825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39370</wp:posOffset>
            </wp:positionV>
            <wp:extent cx="4522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2247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Less than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1 – 3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3 –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0"/>
        </w:trPr>
        <w:tc>
          <w:tcPr>
            <w:tcW w:w="3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and long term debt</w:t>
            </w: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contingencies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17,045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7,442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81,916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jc w:val="both"/>
        <w:ind w:left="60" w:firstLine="268"/>
        <w:spacing w:after="0" w:line="283" w:lineRule="auto"/>
        <w:rPr>
          <w:sz w:val="20"/>
          <w:szCs w:val="20"/>
          <w:color w:val="auto"/>
        </w:rPr>
      </w:pPr>
      <w:r>
        <w:rPr>
          <w:rFonts w:ascii="Arial" w:cs="Arial" w:eastAsia="Arial" w:hAnsi="Arial"/>
          <w:sz w:val="17"/>
          <w:szCs w:val="17"/>
          <w:color w:val="auto"/>
        </w:rPr>
        <w:t>Excluded from the above table are interest and fees associated with our short term and long term debt and irrevocable standby letters of credit outstanding under our Facility, because the applicable interest rates and fees are variable. We have also excluded our multi-employer pension plan contributions, which are determined annually, based on our union employee payrolls, and which cannot be determined for future periods in advance.</w:t>
      </w:r>
    </w:p>
    <w:p>
      <w:pPr>
        <w:spacing w:after="0" w:line="60" w:lineRule="exact"/>
        <w:rPr>
          <w:sz w:val="20"/>
          <w:szCs w:val="20"/>
          <w:color w:val="auto"/>
        </w:rPr>
      </w:pPr>
    </w:p>
    <w:p>
      <w:pPr>
        <w:ind w:left="60" w:right="340" w:firstLine="268"/>
        <w:spacing w:after="0" w:line="272" w:lineRule="auto"/>
        <w:rPr>
          <w:sz w:val="20"/>
          <w:szCs w:val="20"/>
          <w:color w:val="auto"/>
        </w:rPr>
      </w:pPr>
      <w:r>
        <w:rPr>
          <w:rFonts w:ascii="Arial" w:cs="Arial" w:eastAsia="Arial" w:hAnsi="Arial"/>
          <w:sz w:val="18"/>
          <w:szCs w:val="18"/>
          <w:color w:val="auto"/>
        </w:rPr>
        <w:t>The amount of income tax contingencies has been presented in the “Other” column in the table above due to the fact that the period of future payment cannot be reliably estimated. For further information, refer to Note 10 — Income Taxes to the Financial Statements.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119" w:lineRule="exact"/>
        <w:rPr>
          <w:sz w:val="20"/>
          <w:szCs w:val="20"/>
          <w:color w:val="auto"/>
        </w:rPr>
      </w:pPr>
    </w:p>
    <w:p>
      <w:pPr>
        <w:ind w:left="60" w:firstLine="268"/>
        <w:spacing w:after="0" w:line="252" w:lineRule="auto"/>
        <w:rPr>
          <w:sz w:val="20"/>
          <w:szCs w:val="20"/>
          <w:color w:val="auto"/>
        </w:rPr>
      </w:pPr>
      <w:r>
        <w:rPr>
          <w:rFonts w:ascii="Arial" w:cs="Arial" w:eastAsia="Arial" w:hAnsi="Arial"/>
          <w:sz w:val="18"/>
          <w:szCs w:val="18"/>
          <w:color w:val="auto"/>
        </w:rPr>
        <w:t>We grant trade credit under contractual payment terms, generally without collateral, to our customers, which include high credit quality electric utilities, governmental entities, general contractors and builders, owners and managers of commercial and industrial properties. Consequently, we are subject to potential credit risk related to changes in business and economic factors. However, we generally have certain statutory lien rights with respect to services provided. Under certain circumstances such as foreclosures or negotiated settlements, we may take title to the underlying assets in lieu of cash in settlement of receivables. As of December 31, 2017, none of our customers individually exceeded 10.0% of accounts receivable. As of December 31, 2016, one customer individually exceeded 10.0% of accounts receivable with approximately 11.2% of the total accounts receivable amount (excluding the impact of allowance for doubtful accounts). Management believes the terms and conditions in our contracts, billing and collection policies are adequate to minimize the potential credit risk.</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Inflation did not have a significant effect on our results during the years ended December 31, 2017, 2016 or 2015.</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119" w:lineRule="exact"/>
        <w:rPr>
          <w:sz w:val="20"/>
          <w:szCs w:val="20"/>
          <w:color w:val="auto"/>
        </w:rPr>
      </w:pPr>
    </w:p>
    <w:p>
      <w:pPr>
        <w:ind w:left="60" w:right="400" w:firstLine="268"/>
        <w:spacing w:after="0" w:line="272" w:lineRule="auto"/>
        <w:rPr>
          <w:sz w:val="20"/>
          <w:szCs w:val="20"/>
          <w:color w:val="auto"/>
        </w:rPr>
      </w:pPr>
      <w:r>
        <w:rPr>
          <w:rFonts w:ascii="Arial" w:cs="Arial" w:eastAsia="Arial" w:hAnsi="Arial"/>
          <w:sz w:val="18"/>
          <w:szCs w:val="18"/>
          <w:color w:val="auto"/>
        </w:rPr>
        <w:t>For a discussion of recent accounting pronouncements, see Note 1 — Organization, Business and Summary of Significant Accounting Policies in the Notes to the Financial Statements.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19" w:lineRule="exact"/>
        <w:rPr>
          <w:sz w:val="20"/>
          <w:szCs w:val="20"/>
          <w:color w:val="auto"/>
        </w:rPr>
      </w:pPr>
    </w:p>
    <w:p>
      <w:pPr>
        <w:ind w:left="60" w:right="40" w:firstLine="26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Financial Statements, which have been prepared in accordance with U.S.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spacing w:after="0" w:line="56" w:lineRule="exact"/>
        <w:rPr>
          <w:sz w:val="20"/>
          <w:szCs w:val="20"/>
          <w:color w:val="auto"/>
        </w:rPr>
      </w:pPr>
    </w:p>
    <w:p>
      <w:pPr>
        <w:ind w:left="60" w:right="540" w:firstLine="268"/>
        <w:spacing w:after="0" w:line="272"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Revenues under long-term contracts are accounted for under the percentage-of-completion method of accounting.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percentage-of-completion method, we estimate</w:t>
      </w:r>
    </w:p>
    <w:p>
      <w:pPr>
        <w:spacing w:after="0" w:line="200" w:lineRule="exact"/>
        <w:rPr>
          <w:sz w:val="20"/>
          <w:szCs w:val="20"/>
          <w:color w:val="auto"/>
        </w:rPr>
      </w:pP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20"/>
        <w:spacing w:after="0" w:line="272" w:lineRule="auto"/>
        <w:rPr>
          <w:sz w:val="20"/>
          <w:szCs w:val="20"/>
          <w:color w:val="auto"/>
        </w:rPr>
      </w:pPr>
      <w:r>
        <w:rPr>
          <w:rFonts w:ascii="Arial" w:cs="Arial" w:eastAsia="Arial" w:hAnsi="Arial"/>
          <w:sz w:val="18"/>
          <w:szCs w:val="18"/>
          <w:color w:val="auto"/>
        </w:rPr>
        <w:t>profit as the difference between total estimated revenue and total estimated cost of a contract and recognize that profit over the contract term based on costs incurred under the cost-to-cost method.</w:t>
      </w:r>
    </w:p>
    <w:p>
      <w:pPr>
        <w:spacing w:after="0" w:line="67"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Revenues from our construction services are performed under fixed-price, time-and-equipment, time-and-materials, unit-price, and cost-plus fee contracts. For fixed-price and unit-price contracts, we use the ratio of cost incurred to date on the contract (excluding uninstalled direct materials) to management’s estimate of the contract’s total cost, to determine the percentage of completion on each contract. This method is used as management considers expended costs to be the best available measure of progression of these contracts. Contract cost includes all direct costs on contracts, including labor and material, subcontractor costs and those indirect costs related to contract performance, such as supplies, fuel, tool repairs and depreciation. We recognize revenues from construction services with fees based on time-and-materials, or cost-plus fee as the services are performed and amounts are earned. If contracts include contract incentive or bonus provisions, they are included in estimated contract revenues only when the achievement of such incentive or bonus is reasonably certain.</w:t>
      </w:r>
    </w:p>
    <w:p>
      <w:pPr>
        <w:spacing w:after="0" w:line="85" w:lineRule="exact"/>
        <w:rPr>
          <w:sz w:val="20"/>
          <w:szCs w:val="20"/>
          <w:color w:val="auto"/>
        </w:rPr>
      </w:pPr>
    </w:p>
    <w:p>
      <w:pPr>
        <w:ind w:left="40" w:right="120" w:firstLine="268"/>
        <w:spacing w:after="0" w:line="273" w:lineRule="auto"/>
        <w:rPr>
          <w:sz w:val="20"/>
          <w:szCs w:val="20"/>
          <w:color w:val="auto"/>
        </w:rPr>
      </w:pPr>
      <w:r>
        <w:rPr>
          <w:rFonts w:ascii="Arial" w:cs="Arial" w:eastAsia="Arial" w:hAnsi="Arial"/>
          <w:sz w:val="17"/>
          <w:szCs w:val="17"/>
          <w:color w:val="auto"/>
        </w:rPr>
        <w:t>Contract costs incurred to date and expected total contract costs are continuously monitored during the term of the contract. Changes in job performance, job conditions and final contract settlements are factors that influence management’s assessment of total contract value and the total estimated costs to complete those contracts and therefore, our profit recognition. These changes, which include contracts with estimated costs in excess of estimated revenues, are recognized in contract costs in the period in which the revisions are determined. At the point we anticipate a loss on a contract, we estimate the ultimate loss through completion and recognize that loss in the period in which the possible loss was identified.</w:t>
      </w:r>
    </w:p>
    <w:p>
      <w:pPr>
        <w:spacing w:after="0" w:line="68" w:lineRule="exact"/>
        <w:rPr>
          <w:sz w:val="20"/>
          <w:szCs w:val="20"/>
          <w:color w:val="auto"/>
        </w:rPr>
      </w:pPr>
    </w:p>
    <w:p>
      <w:pPr>
        <w:ind w:left="40" w:right="20" w:firstLine="268"/>
        <w:spacing w:after="0" w:line="269" w:lineRule="auto"/>
        <w:rPr>
          <w:sz w:val="20"/>
          <w:szCs w:val="20"/>
          <w:color w:val="auto"/>
        </w:rPr>
      </w:pPr>
      <w:r>
        <w:rPr>
          <w:rFonts w:ascii="Arial" w:cs="Arial" w:eastAsia="Arial" w:hAnsi="Arial"/>
          <w:sz w:val="17"/>
          <w:szCs w:val="17"/>
          <w:color w:val="auto"/>
        </w:rPr>
        <w:t>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Costs related to change orders and claims are recognized when incurred. Revenue from a change order is included in total estimated contract revenue when it is probable that the change order will result in an addition to contract value and can be reliably estimated. Revenue from a claim is included in total estimated contract revenues, only to the extent that contract costs related to the claim have been incurred, when it is probable that the claim will result in an addition to contract value which can be reliably estimated. No profit is recognized on a claim until final settlement occurs.</w:t>
      </w:r>
    </w:p>
    <w:p>
      <w:pPr>
        <w:spacing w:after="0" w:line="71"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spacing w:after="0" w:line="83" w:lineRule="exact"/>
        <w:rPr>
          <w:sz w:val="20"/>
          <w:szCs w:val="20"/>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completeness and accuracy of the original bid;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scope changes, change orders or claims;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labor and/or materials;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overhead due to owner, weather and other delays;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subcontractor performance issues;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productivity expectations;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site conditions that differ from those assumed in the original bid (to the extent contract remedies are unavailable);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skill level of workers in the geographic location of the project;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change in the availability and proximity of equipment and materials.</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300" w:firstLine="268"/>
        <w:spacing w:after="0" w:line="272" w:lineRule="auto"/>
        <w:rPr>
          <w:sz w:val="20"/>
          <w:szCs w:val="20"/>
          <w:color w:val="auto"/>
        </w:rPr>
      </w:pPr>
      <w:r>
        <w:rPr>
          <w:rFonts w:ascii="Arial" w:cs="Arial" w:eastAsia="Arial" w:hAnsi="Arial"/>
          <w:sz w:val="18"/>
          <w:szCs w:val="18"/>
          <w:color w:val="auto"/>
        </w:rPr>
        <w:t>The foregoing factors as well as the stage of completion of contracts in process and the mix of contracts at different margins may cause fluctuations in gross profit between periods.</w:t>
      </w:r>
    </w:p>
    <w:p>
      <w:pPr>
        <w:spacing w:after="0" w:line="67" w:lineRule="exact"/>
        <w:rPr>
          <w:sz w:val="20"/>
          <w:szCs w:val="20"/>
          <w:color w:val="auto"/>
        </w:rPr>
      </w:pPr>
    </w:p>
    <w:p>
      <w:pPr>
        <w:ind w:left="40" w:right="200" w:firstLine="268"/>
        <w:spacing w:after="0" w:line="272" w:lineRule="auto"/>
        <w:rPr>
          <w:sz w:val="20"/>
          <w:szCs w:val="20"/>
          <w:color w:val="auto"/>
        </w:rPr>
      </w:pPr>
      <w:r>
        <w:rPr>
          <w:rFonts w:ascii="Arial" w:cs="Arial" w:eastAsia="Arial" w:hAnsi="Arial"/>
          <w:sz w:val="18"/>
          <w:szCs w:val="18"/>
          <w:color w:val="auto"/>
        </w:rPr>
        <w:t>We provide warranties to customers on a basis customary to the industry; however, the warranty period does not typically exceed one year. Historically, warranty claims have not been material.</w:t>
      </w:r>
    </w:p>
    <w:p>
      <w:pPr>
        <w:spacing w:after="0" w:line="67" w:lineRule="exact"/>
        <w:rPr>
          <w:sz w:val="20"/>
          <w:szCs w:val="20"/>
          <w:color w:val="auto"/>
        </w:rPr>
      </w:pPr>
    </w:p>
    <w:p>
      <w:pPr>
        <w:ind w:left="40" w:right="40" w:firstLine="268"/>
        <w:spacing w:after="0" w:line="272" w:lineRule="auto"/>
        <w:rPr>
          <w:sz w:val="20"/>
          <w:szCs w:val="20"/>
          <w:color w:val="auto"/>
        </w:rPr>
      </w:pPr>
      <w:r>
        <w:rPr>
          <w:rFonts w:ascii="Arial" w:cs="Arial" w:eastAsia="Arial" w:hAnsi="Arial"/>
          <w:sz w:val="18"/>
          <w:szCs w:val="18"/>
          <w:color w:val="auto"/>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spacing w:after="0" w:line="67" w:lineRule="exact"/>
        <w:rPr>
          <w:sz w:val="20"/>
          <w:szCs w:val="20"/>
          <w:color w:val="auto"/>
        </w:rPr>
      </w:pPr>
    </w:p>
    <w:p>
      <w:pPr>
        <w:jc w:val="both"/>
        <w:ind w:left="40" w:right="180" w:firstLine="268"/>
        <w:spacing w:after="0" w:line="276" w:lineRule="auto"/>
        <w:rPr>
          <w:sz w:val="20"/>
          <w:szCs w:val="20"/>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We carry insurance policies, which are subject to certain deductibles, for workers’ compensation, general liability, automobile liability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coverages. Our deductible for each line of coverage is up to $1.0 million, except for wildfire coverage which has a deductible of $2.0 million. Certain health benefit plans are subject to a deductible up to $0.2 million, for qualified individuals. Losses up to the deductible amounts are accrued based upon our estimates of the ultimate liability for claims reported and an estimate of claims incurred but not yet reported.</w:t>
      </w:r>
    </w:p>
    <w:p>
      <w:pPr>
        <w:spacing w:after="0" w:line="66" w:lineRule="exact"/>
        <w:rPr>
          <w:sz w:val="20"/>
          <w:szCs w:val="20"/>
          <w:color w:val="auto"/>
        </w:rPr>
      </w:pPr>
    </w:p>
    <w:p>
      <w:pPr>
        <w:jc w:val="both"/>
        <w:ind w:left="40" w:right="140" w:firstLine="268"/>
        <w:spacing w:after="0" w:line="260"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in the consolidated balance sheets.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determine compensation expense for stock-based awards based on the estimated fair values at the grant date and</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 the related compensation expense over the vesting period. We use the straight-line amortization method to recognize compensation expense related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stock-based awards, such as restricted stock and phantom stock, that have only service conditions. This method recognizes stock compensation expense on</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straight-line basis over the requisite service period for the entire award. We recognize compensation expense related to performance awards that vest based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internal performance metrics and service conditions on a straight-line basis over the service period, but adjust inception-to-date expense based upon our</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determination of the potential achievement of the performance target at each reporting date. We recognize compensation expense related to performance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awards with market-based performance metrics on a straight-line basis over the requisite service period. Upon adoption ASU No. 2016-09,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Compensation — Stock Compensation (Topic 718) </w:t>
      </w:r>
      <w:r>
        <w:rPr>
          <w:rFonts w:ascii="Arial" w:cs="Arial" w:eastAsia="Arial" w:hAnsi="Arial"/>
          <w:sz w:val="16"/>
          <w:szCs w:val="16"/>
          <w:color w:val="auto"/>
        </w:rPr>
        <w:t>in January of 2017, we elected to discontinue estimating future forfeitures and recognize forfeitures as they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occur. Prior to the adoption, we used historical data to estimate the forfeiture rate applied to stock grants. Shares issued under the Company’s stock-based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compensation program are taken out of authorized but unissued shares.</w:t>
      </w:r>
    </w:p>
    <w:p>
      <w:pPr>
        <w:spacing w:after="0" w:line="102" w:lineRule="exact"/>
        <w:rPr>
          <w:sz w:val="20"/>
          <w:szCs w:val="20"/>
          <w:color w:val="auto"/>
        </w:rPr>
      </w:pPr>
    </w:p>
    <w:p>
      <w:pPr>
        <w:ind w:left="40" w:right="20" w:firstLine="268"/>
        <w:spacing w:after="0" w:line="285" w:lineRule="auto"/>
        <w:rPr>
          <w:sz w:val="20"/>
          <w:szCs w:val="20"/>
          <w:color w:val="auto"/>
        </w:rPr>
      </w:pPr>
      <w:r>
        <w:rPr>
          <w:rFonts w:ascii="Arial" w:cs="Arial" w:eastAsia="Arial" w:hAnsi="Arial"/>
          <w:sz w:val="16"/>
          <w:szCs w:val="16"/>
          <w:i w:val="1"/>
          <w:iCs w:val="1"/>
          <w:color w:val="auto"/>
        </w:rPr>
        <w:t xml:space="preserve">Goodwill and Intangibles. </w:t>
      </w:r>
      <w:r>
        <w:rPr>
          <w:rFonts w:ascii="Arial" w:cs="Arial" w:eastAsia="Arial" w:hAnsi="Arial"/>
          <w:sz w:val="16"/>
          <w:szCs w:val="16"/>
          <w:color w:val="auto"/>
        </w:rPr>
        <w:t>Goodwill and intangible assets with indefinite lives are not amortized. Intangible assets with finite lives are amortized on a</w:t>
      </w:r>
      <w:r>
        <w:rPr>
          <w:rFonts w:ascii="Arial" w:cs="Arial" w:eastAsia="Arial" w:hAnsi="Arial"/>
          <w:sz w:val="16"/>
          <w:szCs w:val="16"/>
          <w:i w:val="1"/>
          <w:iCs w:val="1"/>
          <w:color w:val="auto"/>
        </w:rPr>
        <w:t xml:space="preserve"> </w:t>
      </w:r>
      <w:r>
        <w:rPr>
          <w:rFonts w:ascii="Arial" w:cs="Arial" w:eastAsia="Arial" w:hAnsi="Arial"/>
          <w:sz w:val="16"/>
          <w:szCs w:val="16"/>
          <w:color w:val="auto"/>
        </w:rPr>
        <w:t>straight-line basis over their estimated useful lives. We review goodwill and intangible assets with indefinite lives for impairment on an annual basis at the beginning of the fourth quarter, or when circumstances change, such as a significant adverse change in the business climate or the decision to sell a business, both of which would indicate that impairment may have occurred. We perform a qualitative assessment to determine whether it is necessary to perform a two-step goodwill impairment test. The qualitative assessment considers financial, industry, segment and macroeconomic factors. If the qualitative assessment indicates a potential for impairment, the two-step method is used to determine if impairment exists. The two-step method begins with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The company also performs a qualitative assessment on intangible assets with indefinite lives. If the qualitative assessment indicates a potential for impairment, a quantitative impairment test would be performed to compare the fair value of the indefinite-lived intangible asset with its carrying value. If the carrying value of goodwill or other indefinite lived assets exceeds its implied fair value, an impairment charge would be recorded in the statement of operations.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a result of the annual qualitative review process in 2017 and 2016, we determined it was not necessary to perform a two-step analysis.</w:t>
      </w: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40" w:firstLine="268"/>
        <w:spacing w:after="0" w:line="254" w:lineRule="auto"/>
        <w:rPr>
          <w:sz w:val="20"/>
          <w:szCs w:val="20"/>
          <w:color w:val="auto"/>
        </w:rPr>
      </w:pPr>
      <w:r>
        <w:rPr>
          <w:rFonts w:ascii="Arial" w:cs="Arial" w:eastAsia="Arial" w:hAnsi="Arial"/>
          <w:sz w:val="18"/>
          <w:szCs w:val="18"/>
          <w:color w:val="auto"/>
        </w:rPr>
        <w:t>In 2015, we determined, based on our qualitative analysis, that it was appropriate to perform a two-step analysis. The first step involves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If the carrying value of goodwill exceeds its implied fair value, an impairment charge is recorded in the statement of operations. The step one analysis did not indicate that our goodwill or indefinite lived intangible assets were impaired. As a result, no step two analysis was performed.</w:t>
      </w:r>
    </w:p>
    <w:p>
      <w:pPr>
        <w:spacing w:after="0" w:line="85" w:lineRule="exact"/>
        <w:rPr>
          <w:sz w:val="20"/>
          <w:szCs w:val="20"/>
          <w:color w:val="auto"/>
        </w:rPr>
      </w:pPr>
    </w:p>
    <w:p>
      <w:pPr>
        <w:ind w:left="40" w:right="20" w:firstLine="268"/>
        <w:spacing w:after="0" w:line="271"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We do not generally charge interest to our customers, and we carry our customer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at their face amounts, less an allowance for doubtful accounts. Included in accounts receivable are balances billed to customers pursuant to retainage provisions in certain contracts that are due upon completion of the contracts and acceptance by the customer, or earlier, as provided by the contract. Based on our experience in recent years, the majority of customer balances at each balance sheet date are collected within twelve months. As is common practice in the industry, we classify all accounts receivable, including retainage, as current assets. The contracting cycle for certain long-term contracts may extend beyond one year, and accordingly, collection of retainage on those contracts may extend beyond one year.</w:t>
      </w:r>
    </w:p>
    <w:p>
      <w:pPr>
        <w:spacing w:after="0" w:line="70" w:lineRule="exact"/>
        <w:rPr>
          <w:sz w:val="20"/>
          <w:szCs w:val="20"/>
          <w:color w:val="auto"/>
        </w:rPr>
      </w:pPr>
    </w:p>
    <w:p>
      <w:pPr>
        <w:ind w:left="40" w:right="160" w:firstLine="268"/>
        <w:spacing w:after="0" w:line="254" w:lineRule="auto"/>
        <w:rPr>
          <w:sz w:val="20"/>
          <w:szCs w:val="20"/>
          <w:color w:val="auto"/>
        </w:rPr>
      </w:pPr>
      <w:r>
        <w:rPr>
          <w:rFonts w:ascii="Arial" w:cs="Arial" w:eastAsia="Arial" w:hAnsi="Arial"/>
          <w:sz w:val="18"/>
          <w:szCs w:val="18"/>
          <w:color w:val="auto"/>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p>
      <w:pPr>
        <w:spacing w:after="0" w:line="119" w:lineRule="exact"/>
        <w:rPr>
          <w:sz w:val="20"/>
          <w:szCs w:val="20"/>
          <w:color w:val="auto"/>
        </w:rPr>
      </w:pPr>
    </w:p>
    <w:p>
      <w:pPr>
        <w:ind w:left="40" w:right="140" w:firstLine="268"/>
        <w:spacing w:after="0" w:line="272" w:lineRule="auto"/>
        <w:rPr>
          <w:sz w:val="20"/>
          <w:szCs w:val="20"/>
          <w:color w:val="auto"/>
        </w:rPr>
      </w:pPr>
      <w:r>
        <w:rPr>
          <w:rFonts w:ascii="Arial" w:cs="Arial" w:eastAsia="Arial" w:hAnsi="Arial"/>
          <w:sz w:val="18"/>
          <w:szCs w:val="18"/>
          <w:color w:val="auto"/>
        </w:rPr>
        <w:t>As of December 31, 2017, we were not parties to any derivative instruments. We did not use any derivative financial instruments during the years ended December 31, 2017, 2016 or 2015.</w:t>
      </w:r>
    </w:p>
    <w:p>
      <w:pPr>
        <w:spacing w:after="0" w:line="67"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Borrowings under our Facility are based upon interest rates that will vary depending upon the prime rate, Canadian prime rate, federal funds rate and LIBOR. If the prime rate, Canadian prime rate, federal funds rate or LIBOR rises, our interest payment obligations will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December 31, 2017, which is subject to variable rates, permanently increased by 1%, the increase in interest expense on all revolving debt would decrease future income before provision for income taxes and cash flows by approximately $0.8 million annually. If market rates of interest on all our revolving debt, which is subject to variable rates as of December 31, 2017, permanently decreased by 1%, the decrease in interest expense on all debt would increase future income before provision for income taxes and cash flows by the same amount.</w:t>
      </w:r>
    </w:p>
    <w:p>
      <w:pPr>
        <w:spacing w:after="0" w:line="200" w:lineRule="exact"/>
        <w:rPr>
          <w:sz w:val="20"/>
          <w:szCs w:val="20"/>
          <w:color w:val="auto"/>
        </w:rPr>
      </w:pPr>
    </w:p>
    <w:p>
      <w:pPr>
        <w:spacing w:after="0" w:line="32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80" w:top="787" w:right="1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800" w:type="dxa"/>
            <w:vAlign w:val="bottom"/>
            <w:gridSpan w:val="9"/>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8"/>
        </w:trPr>
        <w:tc>
          <w:tcPr>
            <w:tcW w:w="14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9"/>
        </w:trPr>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60" w:type="dxa"/>
            <w:vAlign w:val="bottom"/>
            <w:gridSpan w:val="6"/>
          </w:tcPr>
          <w:p>
            <w:pPr>
              <w:ind w:left="1980"/>
              <w:spacing w:after="0"/>
              <w:rPr>
                <w:sz w:val="20"/>
                <w:szCs w:val="20"/>
                <w:color w:val="auto"/>
              </w:rPr>
            </w:pPr>
            <w:r>
              <w:rPr>
                <w:rFonts w:ascii="Arial" w:cs="Arial" w:eastAsia="Arial" w:hAnsi="Arial"/>
                <w:sz w:val="18"/>
                <w:szCs w:val="18"/>
                <w:b w:val="1"/>
                <w:bCs w:val="1"/>
                <w:color w:val="auto"/>
              </w:rPr>
              <w:t>INDEX TO FINANCIAL STATEMENTS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7"/>
        </w:trPr>
        <w:tc>
          <w:tcPr>
            <w:tcW w:w="140" w:type="dxa"/>
            <w:vAlign w:val="bottom"/>
          </w:tcPr>
          <w:p>
            <w:pPr>
              <w:spacing w:after="0"/>
              <w:rPr>
                <w:sz w:val="24"/>
                <w:szCs w:val="24"/>
                <w:color w:val="auto"/>
              </w:rPr>
            </w:pPr>
          </w:p>
        </w:tc>
        <w:tc>
          <w:tcPr>
            <w:tcW w:w="9800" w:type="dxa"/>
            <w:vAlign w:val="bottom"/>
            <w:gridSpan w:val="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Report of Management</w:t>
              </w:r>
            </w:hyperlink>
          </w:p>
        </w:tc>
        <w:tc>
          <w:tcPr>
            <w:tcW w:w="1140" w:type="dxa"/>
            <w:vAlign w:val="bottom"/>
            <w:gridSpan w:val="2"/>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Borders>
              <w:right w:val="single" w:sz="8" w:color="CCEEFF"/>
            </w:tcBorders>
          </w:tcPr>
          <w:p>
            <w:pPr>
              <w:spacing w:after="0"/>
              <w:rPr>
                <w:sz w:val="15"/>
                <w:szCs w:val="15"/>
                <w:color w:val="auto"/>
              </w:rPr>
            </w:pPr>
          </w:p>
        </w:tc>
        <w:tc>
          <w:tcPr>
            <w:tcW w:w="9800" w:type="dxa"/>
            <w:vAlign w:val="bottom"/>
            <w:gridSpan w:val="9"/>
            <w:shd w:val="clear" w:color="auto" w:fill="CCEEFF"/>
          </w:tcPr>
          <w:p>
            <w:pPr>
              <w:spacing w:after="0" w:line="175" w:lineRule="exact"/>
              <w:rPr>
                <w:rFonts w:ascii="Arial" w:cs="Arial" w:eastAsia="Arial" w:hAnsi="Arial"/>
                <w:sz w:val="18"/>
                <w:szCs w:val="18"/>
                <w:color w:val="0000EE"/>
              </w:rPr>
            </w:pPr>
            <w:hyperlink w:anchor="page55">
              <w:r>
                <w:rPr>
                  <w:rFonts w:ascii="Arial" w:cs="Arial" w:eastAsia="Arial" w:hAnsi="Arial"/>
                  <w:sz w:val="18"/>
                  <w:szCs w:val="18"/>
                  <w:color w:val="0000EE"/>
                </w:rPr>
                <w:t>Reports of Independent Registered Public Accounting Firms</w:t>
              </w:r>
            </w:hyperlink>
          </w:p>
        </w:tc>
        <w:tc>
          <w:tcPr>
            <w:tcW w:w="1140" w:type="dxa"/>
            <w:vAlign w:val="bottom"/>
            <w:gridSpan w:val="2"/>
            <w:shd w:val="clear" w:color="auto" w:fill="CCEEFF"/>
          </w:tcPr>
          <w:p>
            <w:pPr>
              <w:jc w:val="right"/>
              <w:spacing w:after="0" w:line="175" w:lineRule="exact"/>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c>
          <w:tcPr>
            <w:tcW w:w="12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Pr>
          <w:p>
            <w:pPr>
              <w:spacing w:after="0"/>
              <w:rPr>
                <w:sz w:val="15"/>
                <w:szCs w:val="15"/>
                <w:color w:val="auto"/>
              </w:rPr>
            </w:pPr>
          </w:p>
        </w:tc>
        <w:tc>
          <w:tcPr>
            <w:tcW w:w="9800" w:type="dxa"/>
            <w:vAlign w:val="bottom"/>
            <w:gridSpan w:val="9"/>
          </w:tcPr>
          <w:p>
            <w:pPr>
              <w:spacing w:after="0" w:line="175"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Balance Sheets as of December 31, 2017 and 2016</w:t>
              </w:r>
            </w:hyperlink>
          </w:p>
        </w:tc>
        <w:tc>
          <w:tcPr>
            <w:tcW w:w="1140" w:type="dxa"/>
            <w:vAlign w:val="bottom"/>
            <w:gridSpan w:val="2"/>
          </w:tcPr>
          <w:p>
            <w:pPr>
              <w:jc w:val="right"/>
              <w:spacing w:after="0" w:line="175" w:lineRule="exact"/>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Borders>
              <w:right w:val="single" w:sz="8" w:color="CCEEFF"/>
            </w:tcBorders>
          </w:tcPr>
          <w:p>
            <w:pPr>
              <w:spacing w:after="0"/>
              <w:rPr>
                <w:sz w:val="15"/>
                <w:szCs w:val="15"/>
                <w:color w:val="auto"/>
              </w:rPr>
            </w:pPr>
          </w:p>
        </w:tc>
        <w:tc>
          <w:tcPr>
            <w:tcW w:w="9800" w:type="dxa"/>
            <w:vAlign w:val="bottom"/>
            <w:gridSpan w:val="9"/>
            <w:shd w:val="clear" w:color="auto" w:fill="CCEEFF"/>
          </w:tcPr>
          <w:p>
            <w:pPr>
              <w:spacing w:after="0" w:line="175" w:lineRule="exact"/>
              <w:rPr>
                <w:rFonts w:ascii="Arial" w:cs="Arial" w:eastAsia="Arial" w:hAnsi="Arial"/>
                <w:sz w:val="18"/>
                <w:szCs w:val="18"/>
                <w:color w:val="0000EE"/>
                <w:w w:val="98"/>
              </w:rPr>
            </w:pPr>
            <w:hyperlink w:anchor="page59">
              <w:r>
                <w:rPr>
                  <w:rFonts w:ascii="Arial" w:cs="Arial" w:eastAsia="Arial" w:hAnsi="Arial"/>
                  <w:sz w:val="18"/>
                  <w:szCs w:val="18"/>
                  <w:color w:val="0000EE"/>
                  <w:w w:val="98"/>
                </w:rPr>
                <w:t>Consolidated Statements of Operations and Comprehensive Income for the years ended December 31, 2017, 2016 and 2015</w:t>
              </w:r>
            </w:hyperlink>
          </w:p>
        </w:tc>
        <w:tc>
          <w:tcPr>
            <w:tcW w:w="1140" w:type="dxa"/>
            <w:vAlign w:val="bottom"/>
            <w:gridSpan w:val="2"/>
            <w:shd w:val="clear" w:color="auto" w:fill="CCEEFF"/>
          </w:tcPr>
          <w:p>
            <w:pPr>
              <w:jc w:val="right"/>
              <w:spacing w:after="0" w:line="175" w:lineRule="exact"/>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c>
          <w:tcPr>
            <w:tcW w:w="12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Pr>
          <w:p>
            <w:pPr>
              <w:spacing w:after="0"/>
              <w:rPr>
                <w:sz w:val="15"/>
                <w:szCs w:val="15"/>
                <w:color w:val="auto"/>
              </w:rPr>
            </w:pPr>
          </w:p>
        </w:tc>
        <w:tc>
          <w:tcPr>
            <w:tcW w:w="9800" w:type="dxa"/>
            <w:vAlign w:val="bottom"/>
            <w:gridSpan w:val="9"/>
          </w:tcPr>
          <w:p>
            <w:pPr>
              <w:spacing w:after="0" w:line="175"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Stockholders’ Equity for the years ended December 31, 2017, 2016 and 2015</w:t>
              </w:r>
            </w:hyperlink>
          </w:p>
        </w:tc>
        <w:tc>
          <w:tcPr>
            <w:tcW w:w="1140" w:type="dxa"/>
            <w:vAlign w:val="bottom"/>
            <w:gridSpan w:val="2"/>
          </w:tcPr>
          <w:p>
            <w:pPr>
              <w:jc w:val="right"/>
              <w:spacing w:after="0" w:line="175" w:lineRule="exact"/>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Borders>
              <w:right w:val="single" w:sz="8" w:color="CCEEFF"/>
            </w:tcBorders>
          </w:tcPr>
          <w:p>
            <w:pPr>
              <w:spacing w:after="0"/>
              <w:rPr>
                <w:sz w:val="15"/>
                <w:szCs w:val="15"/>
                <w:color w:val="auto"/>
              </w:rPr>
            </w:pPr>
          </w:p>
        </w:tc>
        <w:tc>
          <w:tcPr>
            <w:tcW w:w="9800" w:type="dxa"/>
            <w:vAlign w:val="bottom"/>
            <w:gridSpan w:val="9"/>
            <w:shd w:val="clear" w:color="auto" w:fill="CCEEFF"/>
          </w:tcPr>
          <w:p>
            <w:pPr>
              <w:spacing w:after="0" w:line="175"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 for the years ended December 31, 2017, 2016 and 2015</w:t>
              </w:r>
            </w:hyperlink>
          </w:p>
        </w:tc>
        <w:tc>
          <w:tcPr>
            <w:tcW w:w="1140" w:type="dxa"/>
            <w:vAlign w:val="bottom"/>
            <w:gridSpan w:val="2"/>
            <w:shd w:val="clear" w:color="auto" w:fill="CCEEFF"/>
          </w:tcPr>
          <w:p>
            <w:pPr>
              <w:jc w:val="right"/>
              <w:spacing w:after="0" w:line="175" w:lineRule="exact"/>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12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140" w:type="dxa"/>
            <w:vAlign w:val="bottom"/>
          </w:tcPr>
          <w:p>
            <w:pPr>
              <w:spacing w:after="0"/>
              <w:rPr>
                <w:sz w:val="15"/>
                <w:szCs w:val="15"/>
                <w:color w:val="auto"/>
              </w:rPr>
            </w:pPr>
          </w:p>
        </w:tc>
        <w:tc>
          <w:tcPr>
            <w:tcW w:w="9800" w:type="dxa"/>
            <w:vAlign w:val="bottom"/>
            <w:gridSpan w:val="9"/>
          </w:tcPr>
          <w:p>
            <w:pPr>
              <w:spacing w:after="0" w:line="175" w:lineRule="exact"/>
              <w:rPr>
                <w:rFonts w:ascii="Arial" w:cs="Arial" w:eastAsia="Arial" w:hAnsi="Arial"/>
                <w:sz w:val="18"/>
                <w:szCs w:val="18"/>
                <w:color w:val="0000EE"/>
              </w:rPr>
            </w:pPr>
            <w:hyperlink w:anchor="page62">
              <w:r>
                <w:rPr>
                  <w:rFonts w:ascii="Arial" w:cs="Arial" w:eastAsia="Arial" w:hAnsi="Arial"/>
                  <w:sz w:val="18"/>
                  <w:szCs w:val="18"/>
                  <w:color w:val="0000EE"/>
                </w:rPr>
                <w:t>Notes to Financial Statements</w:t>
              </w:r>
            </w:hyperlink>
          </w:p>
        </w:tc>
        <w:tc>
          <w:tcPr>
            <w:tcW w:w="1140" w:type="dxa"/>
            <w:vAlign w:val="bottom"/>
            <w:gridSpan w:val="2"/>
          </w:tcPr>
          <w:p>
            <w:pPr>
              <w:jc w:val="right"/>
              <w:spacing w:after="0" w:line="175" w:lineRule="exact"/>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783"/>
        </w:trPr>
        <w:tc>
          <w:tcPr>
            <w:tcW w:w="140" w:type="dxa"/>
            <w:vAlign w:val="bottom"/>
          </w:tcPr>
          <w:p>
            <w:pPr>
              <w:spacing w:after="0"/>
              <w:rPr>
                <w:sz w:val="24"/>
                <w:szCs w:val="24"/>
                <w:color w:val="auto"/>
              </w:rPr>
            </w:pPr>
          </w:p>
        </w:tc>
        <w:tc>
          <w:tcPr>
            <w:tcW w:w="2140" w:type="dxa"/>
            <w:vAlign w:val="bottom"/>
            <w:tcBorders>
              <w:top w:val="single" w:sz="8" w:color="0000EE"/>
            </w:tcBorders>
            <w:gridSpan w:val="3"/>
          </w:tcPr>
          <w:p>
            <w:pPr>
              <w:spacing w:after="0"/>
              <w:rPr>
                <w:sz w:val="24"/>
                <w:szCs w:val="24"/>
                <w:color w:val="auto"/>
              </w:rPr>
            </w:pPr>
          </w:p>
        </w:tc>
        <w:tc>
          <w:tcPr>
            <w:tcW w:w="4720" w:type="dxa"/>
            <w:vAlign w:val="bottom"/>
            <w:gridSpan w:val="3"/>
          </w:tcPr>
          <w:p>
            <w:pPr>
              <w:jc w:val="right"/>
              <w:ind w:right="1200"/>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4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-1651635</wp:posOffset>
            </wp:positionV>
            <wp:extent cx="47009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00905" cy="8255"/>
                    </a:xfrm>
                    <a:prstGeom prst="rect">
                      <a:avLst/>
                    </a:prstGeom>
                    <a:noFill/>
                  </pic:spPr>
                </pic:pic>
              </a:graphicData>
            </a:graphic>
          </wp:anchor>
        </w:drawing>
        <w:drawing>
          <wp:anchor simplePos="0" relativeHeight="251657728" behindDoc="1" locked="0" layoutInCell="0" allowOverlap="1">
            <wp:simplePos x="0" y="0"/>
            <wp:positionH relativeFrom="column">
              <wp:posOffset>6749415</wp:posOffset>
            </wp:positionH>
            <wp:positionV relativeFrom="paragraph">
              <wp:posOffset>-1651635</wp:posOffset>
            </wp:positionV>
            <wp:extent cx="3403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ectPr>
          <w:pgSz w:w="11900" w:h="16838" w:orient="portrait"/>
          <w:cols w:equalWidth="0" w:num="1">
            <w:col w:w="11440"/>
          </w:cols>
          <w:pgMar w:left="240" w:top="783" w:right="2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U.S.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left="40" w:right="640" w:firstLine="268"/>
        <w:spacing w:after="0" w:line="271"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Arial" w:cs="Arial" w:eastAsia="Arial" w:hAnsi="Arial"/>
          <w:sz w:val="17"/>
          <w:szCs w:val="17"/>
          <w:i w:val="1"/>
          <w:iCs w:val="1"/>
          <w:color w:val="auto"/>
        </w:rPr>
        <w:t>Internal</w:t>
      </w:r>
    </w:p>
    <w:p>
      <w:pPr>
        <w:ind w:left="40" w:right="180"/>
        <w:spacing w:after="0" w:line="251" w:lineRule="auto"/>
        <w:rPr>
          <w:sz w:val="20"/>
          <w:szCs w:val="20"/>
          <w:color w:val="auto"/>
        </w:rPr>
      </w:pP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(2013 framework).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has concluded that our internal control over financial reporting was effective as of December 31, 2017 in providing reasonable assurance regarding the reliability of financial reporting and the preparation of financial statements for external reporting purposes in accordance with U.S. GAAP.</w:t>
      </w:r>
    </w:p>
    <w:p>
      <w:pPr>
        <w:spacing w:after="0" w:line="87" w:lineRule="exact"/>
        <w:rPr>
          <w:sz w:val="20"/>
          <w:szCs w:val="20"/>
          <w:color w:val="auto"/>
        </w:rPr>
      </w:pPr>
    </w:p>
    <w:p>
      <w:pPr>
        <w:ind w:left="40" w:right="240" w:firstLine="268"/>
        <w:spacing w:after="0" w:line="283" w:lineRule="auto"/>
        <w:rPr>
          <w:sz w:val="20"/>
          <w:szCs w:val="20"/>
          <w:color w:val="auto"/>
        </w:rPr>
      </w:pPr>
      <w:r>
        <w:rPr>
          <w:rFonts w:ascii="Arial" w:cs="Arial" w:eastAsia="Arial" w:hAnsi="Arial"/>
          <w:sz w:val="17"/>
          <w:szCs w:val="17"/>
          <w:color w:val="auto"/>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60" w:lineRule="exact"/>
        <w:rPr>
          <w:sz w:val="20"/>
          <w:szCs w:val="20"/>
          <w:color w:val="auto"/>
        </w:rPr>
      </w:pPr>
    </w:p>
    <w:p>
      <w:pPr>
        <w:ind w:left="40" w:right="220" w:firstLine="268"/>
        <w:spacing w:after="0" w:line="260" w:lineRule="auto"/>
        <w:rPr>
          <w:sz w:val="20"/>
          <w:szCs w:val="20"/>
          <w:color w:val="auto"/>
        </w:rPr>
      </w:pPr>
      <w:r>
        <w:rPr>
          <w:rFonts w:ascii="Arial" w:cs="Arial" w:eastAsia="Arial" w:hAnsi="Arial"/>
          <w:sz w:val="18"/>
          <w:szCs w:val="18"/>
          <w:color w:val="auto"/>
        </w:rPr>
        <w:t>Crowe Horwath LLP, an independent registered public accounting firm, who audited and reported on the 2017 Financial Statements included in this Annual Report on Form 10-K, has audited the effectiveness of MYR Group’s internal control over financial reporting as of December 31, 2017 as stated in their report which appears herein.</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7, 2018</w:t>
      </w: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80" w:top="787" w:right="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MYR Group Inc.</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Rolling Meadows, IL</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19"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We have audited the accompanying consolidated balance sheet of MYR Group Inc. (the “Company”) as of December 31, 2017, the related consolidated statements of operations and comprehensive income, stockholders’ equity, and cash flows for the year ended December 31, 2017, and the related notes (collectively referred to as the “financial statements”). We also have audited the Company’s internal control over financial reporting as of December 31, 2017, based on criteria established in Internal Control — Integrated Framework: (2013) issued by the Committee of Sponsoring Organizations of the Treadway Commission (COSO).</w:t>
      </w:r>
    </w:p>
    <w:p>
      <w:pPr>
        <w:spacing w:after="0" w:line="85" w:lineRule="exact"/>
        <w:rPr>
          <w:sz w:val="20"/>
          <w:szCs w:val="20"/>
          <w:color w:val="auto"/>
        </w:rPr>
      </w:pPr>
    </w:p>
    <w:p>
      <w:pPr>
        <w:ind w:left="40" w:right="60" w:firstLine="268"/>
        <w:spacing w:after="0" w:line="27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the Company as of December 31, 2017,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2017, based on criteria established in Internal Control — Integrated Framework: (2013) issued by COSO.</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Opinions</w:t>
      </w:r>
    </w:p>
    <w:p>
      <w:pPr>
        <w:spacing w:after="0" w:line="119"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left="40" w:right="240" w:firstLine="268"/>
        <w:spacing w:after="0" w:line="26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ind w:left="40" w:right="40" w:firstLine="268"/>
        <w:spacing w:after="0" w:line="269" w:lineRule="auto"/>
        <w:rPr>
          <w:sz w:val="20"/>
          <w:szCs w:val="20"/>
          <w:color w:val="auto"/>
        </w:rPr>
      </w:pPr>
      <w:r>
        <w:rPr>
          <w:rFonts w:ascii="Arial" w:cs="Arial" w:eastAsia="Arial" w:hAnsi="Arial"/>
          <w:sz w:val="17"/>
          <w:szCs w:val="17"/>
          <w:color w:val="auto"/>
        </w:rPr>
        <w:t>Our audit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9" w:lineRule="exact"/>
        <w:rPr>
          <w:sz w:val="20"/>
          <w:szCs w:val="20"/>
          <w:color w:val="auto"/>
        </w:rPr>
      </w:pPr>
    </w:p>
    <w:p>
      <w:pPr>
        <w:ind w:left="40" w:right="60" w:firstLine="268"/>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pacing w:after="0" w:line="200" w:lineRule="exact"/>
        <w:rPr>
          <w:sz w:val="20"/>
          <w:szCs w:val="20"/>
          <w:color w:val="auto"/>
        </w:rPr>
      </w:pPr>
    </w:p>
    <w:p>
      <w:pPr>
        <w:spacing w:after="0" w:line="31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right="20"/>
        <w:spacing w:after="0" w:line="272" w:lineRule="auto"/>
        <w:rPr>
          <w:sz w:val="20"/>
          <w:szCs w:val="20"/>
          <w:color w:val="auto"/>
        </w:rPr>
      </w:pPr>
      <w:r>
        <w:rPr>
          <w:rFonts w:ascii="Arial" w:cs="Arial" w:eastAsia="Arial" w:hAnsi="Arial"/>
          <w:sz w:val="18"/>
          <w:szCs w:val="18"/>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Crowe Horwath LLP</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2017.</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Oak Brook, Illinois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7, 2018</w:t>
      </w:r>
    </w:p>
    <w:p>
      <w:pPr>
        <w:spacing w:after="0" w:line="200" w:lineRule="exact"/>
        <w:rPr>
          <w:sz w:val="20"/>
          <w:szCs w:val="20"/>
          <w:color w:val="auto"/>
        </w:rPr>
      </w:pPr>
    </w:p>
    <w:p>
      <w:pPr>
        <w:spacing w:after="0" w:line="3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Board of Directors and Stockholders of</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MYR Group Inc.</w:t>
      </w:r>
    </w:p>
    <w:p>
      <w:pPr>
        <w:spacing w:after="0" w:line="102" w:lineRule="exact"/>
        <w:rPr>
          <w:sz w:val="20"/>
          <w:szCs w:val="20"/>
          <w:color w:val="auto"/>
        </w:rPr>
      </w:pPr>
    </w:p>
    <w:p>
      <w:pPr>
        <w:ind w:left="40" w:firstLine="268"/>
        <w:spacing w:after="0" w:line="308" w:lineRule="auto"/>
        <w:rPr>
          <w:sz w:val="20"/>
          <w:szCs w:val="20"/>
          <w:color w:val="auto"/>
        </w:rPr>
      </w:pPr>
      <w:r>
        <w:rPr>
          <w:rFonts w:ascii="Arial" w:cs="Arial" w:eastAsia="Arial" w:hAnsi="Arial"/>
          <w:sz w:val="16"/>
          <w:szCs w:val="16"/>
          <w:color w:val="auto"/>
        </w:rPr>
        <w:t>We have audited the accompanying consolidated balance sheet of MYR Group Inc. as of December 31, 2016, and the related consolidated statements of operations and comprehensive income, stockholders’ equity and cash flows for each of the two years in the period ended December 31, 2016. These financial statements are the responsibility of the Company’s management. Our responsibility is to express an opinion on these financial statements based on our audits.</w:t>
      </w:r>
    </w:p>
    <w:p>
      <w:pPr>
        <w:spacing w:after="0" w:line="43" w:lineRule="exact"/>
        <w:rPr>
          <w:sz w:val="20"/>
          <w:szCs w:val="20"/>
          <w:color w:val="auto"/>
        </w:rPr>
      </w:pPr>
    </w:p>
    <w:p>
      <w:pPr>
        <w:ind w:left="40" w:right="40" w:firstLine="268"/>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5" w:lineRule="exact"/>
        <w:rPr>
          <w:sz w:val="20"/>
          <w:szCs w:val="20"/>
          <w:color w:val="auto"/>
        </w:rPr>
      </w:pPr>
    </w:p>
    <w:p>
      <w:pPr>
        <w:ind w:left="40" w:right="80" w:firstLine="268"/>
        <w:spacing w:after="0" w:line="260"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MYR Group Inc. at December 31, 2016, and the consolidated results of its operations and its cash flows for each of the two years in the period ended December 31, 2016, in conformity with U.S. generally accepted accounting principles.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20"/>
          </w:cols>
          <w:pgMar w:left="380" w:top="787" w:right="199"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8150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15080" cy="8255"/>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41910</wp:posOffset>
            </wp:positionV>
            <wp:extent cx="11925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9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6"/>
                <w:szCs w:val="16"/>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r>
      <w:tr>
        <w:trPr>
          <w:trHeight w:val="208"/>
        </w:trPr>
        <w:tc>
          <w:tcPr>
            <w:tcW w:w="9040" w:type="dxa"/>
            <w:vAlign w:val="bottom"/>
            <w:tcBorders>
              <w:top w:val="single" w:sz="8" w:color="auto"/>
            </w:tcBorders>
          </w:tcPr>
          <w:p>
            <w:pPr>
              <w:ind w:left="42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920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23,846</w:t>
            </w:r>
          </w:p>
        </w:tc>
      </w:tr>
      <w:tr>
        <w:trPr>
          <w:trHeight w:val="215"/>
        </w:trPr>
        <w:tc>
          <w:tcPr>
            <w:tcW w:w="9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allowances of $605 and $432,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234,642</w:t>
            </w:r>
          </w:p>
        </w:tc>
      </w:tr>
      <w:tr>
        <w:trPr>
          <w:trHeight w:val="215"/>
        </w:trPr>
        <w:tc>
          <w:tcPr>
            <w:tcW w:w="9200" w:type="dxa"/>
            <w:vAlign w:val="bottom"/>
            <w:gridSpan w:val="2"/>
          </w:tcPr>
          <w:p>
            <w:pPr>
              <w:ind w:left="20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69,950</w:t>
            </w:r>
          </w:p>
        </w:tc>
      </w:tr>
      <w:tr>
        <w:trPr>
          <w:trHeight w:val="215"/>
        </w:trPr>
        <w:tc>
          <w:tcPr>
            <w:tcW w:w="9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3,785</w:t>
            </w:r>
          </w:p>
        </w:tc>
      </w:tr>
      <w:tr>
        <w:trPr>
          <w:trHeight w:val="215"/>
        </w:trPr>
        <w:tc>
          <w:tcPr>
            <w:tcW w:w="9200" w:type="dxa"/>
            <w:vAlign w:val="bottom"/>
            <w:gridSpan w:val="2"/>
          </w:tcPr>
          <w:p>
            <w:pPr>
              <w:ind w:left="20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2,474</w:t>
            </w:r>
          </w:p>
        </w:tc>
      </w:tr>
      <w:tr>
        <w:trPr>
          <w:trHeight w:val="215"/>
        </w:trPr>
        <w:tc>
          <w:tcPr>
            <w:tcW w:w="9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8,202</w:t>
            </w:r>
          </w:p>
        </w:tc>
      </w:tr>
      <w:tr>
        <w:trPr>
          <w:trHeight w:val="20"/>
        </w:trPr>
        <w:tc>
          <w:tcPr>
            <w:tcW w:w="9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8"/>
        </w:trPr>
        <w:tc>
          <w:tcPr>
            <w:tcW w:w="920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379,736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342,899</w:t>
            </w: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$231,391 and $209,466,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148,084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154,891</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46,781</w:t>
            </w: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 of accumulated amortization of $5,183 and $4,684,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11,566</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Receivable for insurance claims in excess of deductibles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14,692</w:t>
            </w: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2,666</w:t>
            </w:r>
          </w:p>
        </w:tc>
      </w:tr>
      <w:tr>
        <w:trPr>
          <w:trHeight w:val="20"/>
        </w:trPr>
        <w:tc>
          <w:tcPr>
            <w:tcW w:w="9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8"/>
        </w:trPr>
        <w:tc>
          <w:tcPr>
            <w:tcW w:w="9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603,788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573,495</w:t>
            </w:r>
          </w:p>
        </w:tc>
      </w:tr>
      <w:tr>
        <w:trPr>
          <w:trHeight w:val="208"/>
        </w:trPr>
        <w:tc>
          <w:tcPr>
            <w:tcW w:w="9200" w:type="dxa"/>
            <w:vAlign w:val="bottom"/>
            <w:tcBorders>
              <w:top w:val="single" w:sz="8" w:color="CCEEFF"/>
            </w:tcBorders>
            <w:gridSpan w:val="2"/>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9200" w:type="dxa"/>
            <w:vAlign w:val="bottom"/>
            <w:gridSpan w:val="2"/>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r>
      <w:tr>
        <w:trPr>
          <w:trHeight w:val="215"/>
        </w:trPr>
        <w:tc>
          <w:tcPr>
            <w:tcW w:w="9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110,383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99,942</w:t>
            </w:r>
          </w:p>
        </w:tc>
      </w:tr>
      <w:tr>
        <w:trPr>
          <w:trHeight w:val="215"/>
        </w:trPr>
        <w:tc>
          <w:tcPr>
            <w:tcW w:w="9200" w:type="dxa"/>
            <w:vAlign w:val="bottom"/>
            <w:gridSpan w:val="2"/>
          </w:tcPr>
          <w:p>
            <w:pPr>
              <w:ind w:left="20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42,321</w:t>
            </w:r>
          </w:p>
        </w:tc>
      </w:tr>
      <w:tr>
        <w:trPr>
          <w:trHeight w:val="215"/>
        </w:trPr>
        <w:tc>
          <w:tcPr>
            <w:tcW w:w="9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self-insurance reserves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10,492</w:t>
            </w:r>
          </w:p>
        </w:tc>
      </w:tr>
      <w:tr>
        <w:trPr>
          <w:trHeight w:val="215"/>
        </w:trPr>
        <w:tc>
          <w:tcPr>
            <w:tcW w:w="920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42,382</w:t>
            </w:r>
          </w:p>
        </w:tc>
      </w:tr>
      <w:tr>
        <w:trPr>
          <w:trHeight w:val="20"/>
        </w:trPr>
        <w:tc>
          <w:tcPr>
            <w:tcW w:w="9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8"/>
        </w:trPr>
        <w:tc>
          <w:tcPr>
            <w:tcW w:w="9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188,564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196,222</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18,565</w:t>
            </w: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59,070</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Self-insurance reserves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32,092</w:t>
            </w: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maturities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3,833</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539</w:t>
            </w:r>
          </w:p>
        </w:tc>
      </w:tr>
      <w:tr>
        <w:trPr>
          <w:trHeight w:val="20"/>
        </w:trPr>
        <w:tc>
          <w:tcPr>
            <w:tcW w:w="9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8"/>
        </w:trPr>
        <w:tc>
          <w:tcPr>
            <w:tcW w:w="9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316,749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310,321</w:t>
            </w:r>
          </w:p>
        </w:tc>
      </w:tr>
      <w:tr>
        <w:trPr>
          <w:trHeight w:val="208"/>
        </w:trPr>
        <w:tc>
          <w:tcPr>
            <w:tcW w:w="9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0"/>
        </w:trPr>
        <w:tc>
          <w:tcPr>
            <w:tcW w:w="9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3"/>
              </w:rPr>
              <w:t>Preferred stock – $0.01 par value per share; 4,000,000 authorized shares; none issued and outstanding at December 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9200" w:type="dxa"/>
            <w:vAlign w:val="bottom"/>
            <w:gridSpan w:val="2"/>
          </w:tcPr>
          <w:p>
            <w:pPr>
              <w:ind w:left="380"/>
              <w:spacing w:after="0"/>
              <w:rPr>
                <w:sz w:val="20"/>
                <w:szCs w:val="20"/>
                <w:color w:val="auto"/>
              </w:rPr>
            </w:pPr>
            <w:r>
              <w:rPr>
                <w:rFonts w:ascii="Arial" w:cs="Arial" w:eastAsia="Arial" w:hAnsi="Arial"/>
                <w:sz w:val="18"/>
                <w:szCs w:val="18"/>
                <w:color w:val="auto"/>
              </w:rPr>
              <w:t>2017 and December 31, 2016</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1"/>
        </w:trPr>
        <w:tc>
          <w:tcPr>
            <w:tcW w:w="92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Common stock – $0.01 par value per share; 100,000,000 authorized shares; 16,464,757 and 16,333,139 shares issued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9"/>
        </w:trPr>
        <w:tc>
          <w:tcPr>
            <w:tcW w:w="9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outstanding at December 31, 2017 and December 31, 2016,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140,100</w:t>
            </w:r>
          </w:p>
        </w:tc>
      </w:tr>
      <w:tr>
        <w:trPr>
          <w:trHeight w:val="215"/>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123,345</w:t>
            </w:r>
          </w:p>
        </w:tc>
      </w:tr>
      <w:tr>
        <w:trPr>
          <w:trHeight w:val="20"/>
        </w:trPr>
        <w:tc>
          <w:tcPr>
            <w:tcW w:w="9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8"/>
        </w:trPr>
        <w:tc>
          <w:tcPr>
            <w:tcW w:w="9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287,039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263,174</w:t>
            </w:r>
          </w:p>
        </w:tc>
      </w:tr>
      <w:tr>
        <w:trPr>
          <w:trHeight w:val="20"/>
        </w:trPr>
        <w:tc>
          <w:tcPr>
            <w:tcW w:w="9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8"/>
        </w:trPr>
        <w:tc>
          <w:tcPr>
            <w:tcW w:w="920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603,788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573,495</w:t>
            </w:r>
          </w:p>
        </w:tc>
      </w:tr>
      <w:tr>
        <w:trPr>
          <w:trHeight w:val="20"/>
        </w:trPr>
        <w:tc>
          <w:tcPr>
            <w:tcW w:w="9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-4624070</wp:posOffset>
            </wp:positionV>
            <wp:extent cx="7026275" cy="1447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-3516630</wp:posOffset>
            </wp:positionV>
            <wp:extent cx="7026275" cy="170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-1557655</wp:posOffset>
            </wp:positionV>
            <wp:extent cx="7026275" cy="144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0657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657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21634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6344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95"/>
        </w:trPr>
        <w:tc>
          <w:tcPr>
            <w:tcW w:w="7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r>
      <w:tr>
        <w:trPr>
          <w:trHeight w:val="208"/>
        </w:trPr>
        <w:tc>
          <w:tcPr>
            <w:tcW w:w="7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Contract revenues</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1,403,317</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4"/>
              </w:rPr>
              <w:t>1,142,487</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4"/>
              </w:rPr>
              <w:t>1,061,681</w:t>
            </w:r>
          </w:p>
        </w:tc>
      </w:tr>
      <w:tr>
        <w:trPr>
          <w:trHeight w:val="21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costs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1,278,313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1,007,764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939,340</w:t>
            </w:r>
          </w:p>
        </w:tc>
      </w:tr>
      <w:tr>
        <w:trPr>
          <w:trHeight w:val="20"/>
        </w:trPr>
        <w:tc>
          <w:tcPr>
            <w:tcW w:w="7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7500" w:type="dxa"/>
            <w:vAlign w:val="bottom"/>
            <w:gridSpan w:val="2"/>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134,723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122,341</w:t>
            </w:r>
          </w:p>
        </w:tc>
      </w:tr>
      <w:tr>
        <w:trPr>
          <w:trHeight w:val="21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79,186</w:t>
            </w:r>
          </w:p>
        </w:tc>
      </w:tr>
      <w:tr>
        <w:trPr>
          <w:trHeight w:val="215"/>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r>
      <w:tr>
        <w:trPr>
          <w:trHeight w:val="21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r>
      <w:tr>
        <w:trPr>
          <w:trHeight w:val="20"/>
        </w:trPr>
        <w:tc>
          <w:tcPr>
            <w:tcW w:w="7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7500" w:type="dxa"/>
            <w:vAlign w:val="bottom"/>
            <w:gridSpan w:val="2"/>
          </w:tcPr>
          <w:p>
            <w:pPr>
              <w:ind w:left="38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38,754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44,841</w:t>
            </w:r>
          </w:p>
        </w:tc>
      </w:tr>
      <w:tr>
        <w:trPr>
          <w:trHeight w:val="21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750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5"/>
        </w:trPr>
        <w:tc>
          <w:tcPr>
            <w:tcW w:w="7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r>
      <w:tr>
        <w:trPr>
          <w:trHeight w:val="215"/>
        </w:trPr>
        <w:tc>
          <w:tcPr>
            <w:tcW w:w="750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0"/>
        </w:trPr>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7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44,299</w:t>
            </w:r>
          </w:p>
        </w:tc>
      </w:tr>
      <w:tr>
        <w:trPr>
          <w:trHeight w:val="215"/>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16,914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16,997</w:t>
            </w:r>
          </w:p>
        </w:tc>
      </w:tr>
      <w:tr>
        <w:trPr>
          <w:trHeight w:val="20"/>
        </w:trPr>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21,431</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27,302</w:t>
            </w:r>
          </w:p>
        </w:tc>
      </w:tr>
      <w:tr>
        <w:trPr>
          <w:trHeight w:val="208"/>
        </w:trPr>
        <w:tc>
          <w:tcPr>
            <w:tcW w:w="75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Income per common share:</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5"/>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r>
      <w:tr>
        <w:trPr>
          <w:trHeight w:val="215"/>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r>
      <w:tr>
        <w:trPr>
          <w:trHeight w:val="21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 Basic</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17,109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20,577</w:t>
            </w:r>
          </w:p>
        </w:tc>
      </w:tr>
      <w:tr>
        <w:trPr>
          <w:trHeight w:val="215"/>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Diluted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21,038</w:t>
            </w:r>
          </w:p>
        </w:tc>
      </w:tr>
      <w:tr>
        <w:trPr>
          <w:trHeight w:val="215"/>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21,154</w:t>
            </w: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21,431</w:t>
            </w: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27,302</w:t>
            </w:r>
          </w:p>
        </w:tc>
      </w:tr>
      <w:tr>
        <w:trPr>
          <w:trHeight w:val="21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750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r>
      <w:tr>
        <w:trPr>
          <w:trHeight w:val="20"/>
        </w:trPr>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r>
      <w:tr>
        <w:trPr>
          <w:trHeight w:val="20"/>
        </w:trPr>
        <w:tc>
          <w:tcPr>
            <w:tcW w:w="7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21,288</w:t>
            </w: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20,882</w:t>
            </w: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27,405</w:t>
            </w:r>
          </w:p>
        </w:tc>
      </w:tr>
      <w:tr>
        <w:trPr>
          <w:trHeight w:val="20"/>
        </w:trPr>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-3252470</wp:posOffset>
            </wp:positionV>
            <wp:extent cx="7026275" cy="1447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026275" cy="144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-1583690</wp:posOffset>
            </wp:positionV>
            <wp:extent cx="7026275" cy="170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617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1798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41910</wp:posOffset>
            </wp:positionV>
            <wp:extent cx="44373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43738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bottom w:val="single" w:sz="8" w:color="auto"/>
            </w:tcBorders>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00"/>
              <w:spacing w:after="0" w:line="118"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100" w:type="dxa"/>
            <w:vAlign w:val="bottom"/>
            <w:gridSpan w:val="3"/>
          </w:tcPr>
          <w:p>
            <w:pPr>
              <w:jc w:val="center"/>
              <w:spacing w:after="0" w:line="118"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180"/>
              <w:spacing w:after="0" w:line="118"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Earnings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20,792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151,111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171,223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322,553</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27,302</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Stock issued under compensation plans,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from stock-based awards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(28,478)</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shares repurchased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Stock issued –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161,342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168,224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329,880</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21,431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21,431</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issued under compensation plans,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Tax benefit from stock-based awards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(100,587)</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Stock issued –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140,100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123,345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263,174</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21,154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adopt ASU No. 2016-09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Stock issued under compensation plans,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Stock issued –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143,934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143,241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287,039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3381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38195"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41910</wp:posOffset>
            </wp:positionV>
            <wp:extent cx="1822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95"/>
        </w:trPr>
        <w:tc>
          <w:tcPr>
            <w:tcW w:w="8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r>
      <w:tr>
        <w:trPr>
          <w:trHeight w:val="208"/>
        </w:trPr>
        <w:tc>
          <w:tcPr>
            <w:tcW w:w="79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r>
      <w:tr>
        <w:trPr>
          <w:trHeight w:val="215"/>
        </w:trPr>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27,302</w:t>
            </w:r>
          </w:p>
        </w:tc>
      </w:tr>
      <w:tr>
        <w:trPr>
          <w:trHeight w:val="215"/>
        </w:trPr>
        <w:tc>
          <w:tcPr>
            <w:tcW w:w="8100" w:type="dxa"/>
            <w:vAlign w:val="bottom"/>
            <w:gridSpan w:val="2"/>
          </w:tcPr>
          <w:p>
            <w:pPr>
              <w:ind w:left="200"/>
              <w:spacing w:after="0"/>
              <w:rPr>
                <w:sz w:val="20"/>
                <w:szCs w:val="20"/>
                <w:color w:val="auto"/>
              </w:rPr>
            </w:pPr>
            <w:r>
              <w:rPr>
                <w:rFonts w:ascii="Arial" w:cs="Arial" w:eastAsia="Arial" w:hAnsi="Arial"/>
                <w:sz w:val="18"/>
                <w:szCs w:val="18"/>
                <w:color w:val="auto"/>
              </w:rPr>
              <w:t>Adjustments to reconcile net income to net cash flows provided by (used in) operating activities –</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8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37,458</w:t>
            </w:r>
          </w:p>
        </w:tc>
      </w:tr>
      <w:tr>
        <w:trPr>
          <w:trHeight w:val="215"/>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r>
      <w:tr>
        <w:trPr>
          <w:trHeight w:val="215"/>
        </w:trPr>
        <w:tc>
          <w:tcPr>
            <w:tcW w:w="8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4,837</w:t>
            </w:r>
          </w:p>
        </w:tc>
      </w:tr>
      <w:tr>
        <w:trPr>
          <w:trHeight w:val="215"/>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1,558</w:t>
            </w:r>
          </w:p>
        </w:tc>
      </w:tr>
      <w:tr>
        <w:trPr>
          <w:trHeight w:val="215"/>
        </w:trPr>
        <w:tc>
          <w:tcPr>
            <w:tcW w:w="8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r>
      <w:tr>
        <w:trPr>
          <w:trHeight w:val="215"/>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Other non-cash items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r>
      <w:tr>
        <w:trPr>
          <w:trHeight w:val="215"/>
        </w:trPr>
        <w:tc>
          <w:tcPr>
            <w:tcW w:w="8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8100" w:type="dxa"/>
            <w:vAlign w:val="bottom"/>
            <w:gridSpan w:val="2"/>
          </w:tcPr>
          <w:p>
            <w:pPr>
              <w:ind w:left="5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(46,190)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(27,485)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(17,765)</w:t>
            </w:r>
          </w:p>
        </w:tc>
      </w:tr>
      <w:tr>
        <w:trPr>
          <w:trHeight w:val="215"/>
        </w:trPr>
        <w:tc>
          <w:tcPr>
            <w:tcW w:w="8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w:t>
            </w:r>
          </w:p>
        </w:tc>
      </w:tr>
      <w:tr>
        <w:trPr>
          <w:trHeight w:val="215"/>
        </w:trPr>
        <w:tc>
          <w:tcPr>
            <w:tcW w:w="8100" w:type="dxa"/>
            <w:vAlign w:val="bottom"/>
            <w:gridSpan w:val="2"/>
          </w:tcPr>
          <w:p>
            <w:pPr>
              <w:ind w:left="540"/>
              <w:spacing w:after="0"/>
              <w:rPr>
                <w:sz w:val="20"/>
                <w:szCs w:val="20"/>
                <w:color w:val="auto"/>
              </w:rPr>
            </w:pPr>
            <w:r>
              <w:rPr>
                <w:rFonts w:ascii="Arial" w:cs="Arial" w:eastAsia="Arial" w:hAnsi="Arial"/>
                <w:sz w:val="18"/>
                <w:szCs w:val="18"/>
                <w:color w:val="auto"/>
              </w:rPr>
              <w:t>Receivable for insurance claims in excess of deductibles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(7,187)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1,021</w:t>
            </w:r>
          </w:p>
        </w:tc>
      </w:tr>
      <w:tr>
        <w:trPr>
          <w:trHeight w:val="215"/>
        </w:trPr>
        <w:tc>
          <w:tcPr>
            <w:tcW w:w="8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r>
      <w:tr>
        <w:trPr>
          <w:trHeight w:val="215"/>
        </w:trPr>
        <w:tc>
          <w:tcPr>
            <w:tcW w:w="8100" w:type="dxa"/>
            <w:vAlign w:val="bottom"/>
            <w:gridSpan w:val="2"/>
          </w:tcPr>
          <w:p>
            <w:pPr>
              <w:ind w:left="5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17,322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6,742</w:t>
            </w:r>
          </w:p>
        </w:tc>
      </w:tr>
      <w:tr>
        <w:trPr>
          <w:trHeight w:val="215"/>
        </w:trPr>
        <w:tc>
          <w:tcPr>
            <w:tcW w:w="8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w:t>
            </w:r>
          </w:p>
        </w:tc>
      </w:tr>
      <w:tr>
        <w:trPr>
          <w:trHeight w:val="215"/>
        </w:trPr>
        <w:tc>
          <w:tcPr>
            <w:tcW w:w="8100" w:type="dxa"/>
            <w:vAlign w:val="bottom"/>
            <w:gridSpan w:val="2"/>
          </w:tcPr>
          <w:p>
            <w:pPr>
              <w:ind w:left="540"/>
              <w:spacing w:after="0"/>
              <w:rPr>
                <w:sz w:val="20"/>
                <w:szCs w:val="20"/>
                <w:color w:val="auto"/>
              </w:rPr>
            </w:pPr>
            <w:r>
              <w:rPr>
                <w:rFonts w:ascii="Arial" w:cs="Arial" w:eastAsia="Arial" w:hAnsi="Arial"/>
                <w:sz w:val="18"/>
                <w:szCs w:val="18"/>
                <w:color w:val="auto"/>
              </w:rPr>
              <w:t>Accrued self-insurance</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(2,616)</w:t>
            </w:r>
          </w:p>
        </w:tc>
      </w:tr>
      <w:tr>
        <w:trPr>
          <w:trHeight w:val="215"/>
        </w:trPr>
        <w:tc>
          <w:tcPr>
            <w:tcW w:w="8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w:t>
            </w:r>
          </w:p>
        </w:tc>
      </w:tr>
      <w:tr>
        <w:trPr>
          <w:trHeight w:val="20"/>
        </w:trPr>
        <w:tc>
          <w:tcPr>
            <w:tcW w:w="7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8100" w:type="dxa"/>
            <w:vAlign w:val="bottom"/>
            <w:gridSpan w:val="2"/>
          </w:tcPr>
          <w:p>
            <w:pPr>
              <w:ind w:left="720"/>
              <w:spacing w:after="0"/>
              <w:rPr>
                <w:sz w:val="20"/>
                <w:szCs w:val="20"/>
                <w:color w:val="auto"/>
              </w:rPr>
            </w:pPr>
            <w:r>
              <w:rPr>
                <w:rFonts w:ascii="Arial" w:cs="Arial" w:eastAsia="Arial" w:hAnsi="Arial"/>
                <w:sz w:val="18"/>
                <w:szCs w:val="18"/>
                <w:color w:val="auto"/>
              </w:rPr>
              <w:t>Net cash flows provided by (used in) operating activities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54,490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43,000</w:t>
            </w:r>
          </w:p>
        </w:tc>
      </w:tr>
      <w:tr>
        <w:trPr>
          <w:trHeight w:val="208"/>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8100" w:type="dxa"/>
            <w:vAlign w:val="bottom"/>
            <w:gridSpan w:val="2"/>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2,758</w:t>
            </w:r>
          </w:p>
        </w:tc>
      </w:tr>
      <w:tr>
        <w:trPr>
          <w:trHeight w:val="215"/>
        </w:trPr>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acquisitions, net of cash acquired</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(12,056)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(13,087)</w:t>
            </w:r>
          </w:p>
        </w:tc>
      </w:tr>
      <w:tr>
        <w:trPr>
          <w:trHeight w:val="215"/>
        </w:trPr>
        <w:tc>
          <w:tcPr>
            <w:tcW w:w="8100" w:type="dxa"/>
            <w:vAlign w:val="bottom"/>
            <w:gridSpan w:val="2"/>
          </w:tcPr>
          <w:p>
            <w:pPr>
              <w:ind w:left="20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(30,843)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(25,371)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(46,599)</w:t>
            </w:r>
          </w:p>
        </w:tc>
      </w:tr>
      <w:tr>
        <w:trPr>
          <w:trHeight w:val="20"/>
        </w:trPr>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8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(26,501)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(56,928)</w:t>
            </w:r>
          </w:p>
        </w:tc>
      </w:tr>
      <w:tr>
        <w:trPr>
          <w:trHeight w:val="208"/>
        </w:trPr>
        <w:tc>
          <w:tcPr>
            <w:tcW w:w="81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5"/>
        </w:trPr>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borrowings under revolving lines of credit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8100" w:type="dxa"/>
            <w:vAlign w:val="bottom"/>
            <w:gridSpan w:val="2"/>
          </w:tcPr>
          <w:p>
            <w:pPr>
              <w:ind w:left="200"/>
              <w:spacing w:after="0"/>
              <w:rPr>
                <w:sz w:val="20"/>
                <w:szCs w:val="20"/>
                <w:color w:val="auto"/>
              </w:rPr>
            </w:pPr>
            <w:r>
              <w:rPr>
                <w:rFonts w:ascii="Arial" w:cs="Arial" w:eastAsia="Arial" w:hAnsi="Arial"/>
                <w:sz w:val="18"/>
                <w:szCs w:val="18"/>
                <w:color w:val="auto"/>
              </w:rPr>
              <w:t>Payment of principal obligations under capital leases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1,923</w:t>
            </w:r>
          </w:p>
        </w:tc>
      </w:tr>
      <w:tr>
        <w:trPr>
          <w:trHeight w:val="215"/>
        </w:trPr>
        <w:tc>
          <w:tcPr>
            <w:tcW w:w="8100" w:type="dxa"/>
            <w:vAlign w:val="bottom"/>
            <w:gridSpan w:val="2"/>
          </w:tcPr>
          <w:p>
            <w:pPr>
              <w:ind w:left="200"/>
              <w:spacing w:after="0"/>
              <w:rPr>
                <w:sz w:val="20"/>
                <w:szCs w:val="20"/>
                <w:color w:val="auto"/>
              </w:rPr>
            </w:pPr>
            <w:r>
              <w:rPr>
                <w:rFonts w:ascii="Arial" w:cs="Arial" w:eastAsia="Arial" w:hAnsi="Arial"/>
                <w:sz w:val="18"/>
                <w:szCs w:val="18"/>
                <w:color w:val="auto"/>
              </w:rPr>
              <w:t>Repurchase of common shares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(101,483)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(27,582)</w:t>
            </w:r>
          </w:p>
        </w:tc>
      </w:tr>
      <w:tr>
        <w:trPr>
          <w:trHeight w:val="215"/>
        </w:trPr>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w:t>
            </w:r>
          </w:p>
        </w:tc>
      </w:tr>
      <w:tr>
        <w:trPr>
          <w:trHeight w:val="20"/>
        </w:trPr>
        <w:tc>
          <w:tcPr>
            <w:tcW w:w="7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8100" w:type="dxa"/>
            <w:vAlign w:val="bottom"/>
            <w:gridSpan w:val="2"/>
          </w:tcPr>
          <w:p>
            <w:pPr>
              <w:ind w:left="720"/>
              <w:spacing w:after="0"/>
              <w:rPr>
                <w:sz w:val="20"/>
                <w:szCs w:val="20"/>
                <w:color w:val="auto"/>
              </w:rPr>
            </w:pPr>
            <w:r>
              <w:rPr>
                <w:rFonts w:ascii="Arial" w:cs="Arial" w:eastAsia="Arial" w:hAnsi="Arial"/>
                <w:sz w:val="18"/>
                <w:szCs w:val="18"/>
                <w:color w:val="auto"/>
              </w:rPr>
              <w:t>Net cash flows provided by (used in) financing activities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(35,539)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(23,911)</w:t>
            </w:r>
          </w:p>
        </w:tc>
      </w:tr>
      <w:tr>
        <w:trPr>
          <w:trHeight w:val="20"/>
        </w:trPr>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8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(18,503)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(15,951)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(37,839)</w:t>
            </w:r>
          </w:p>
        </w:tc>
      </w:tr>
      <w:tr>
        <w:trPr>
          <w:trHeight w:val="215"/>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Beginning of period</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39,797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77,636</w:t>
            </w:r>
          </w:p>
        </w:tc>
      </w:tr>
      <w:tr>
        <w:trPr>
          <w:trHeight w:val="20"/>
        </w:trPr>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39,797</w:t>
            </w:r>
          </w:p>
        </w:tc>
      </w:tr>
      <w:tr>
        <w:trPr>
          <w:trHeight w:val="208"/>
        </w:trPr>
        <w:tc>
          <w:tcPr>
            <w:tcW w:w="810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Supplemental Cash Flow Information:</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5"/>
        </w:trPr>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Income taxes payments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6,274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16,960</w:t>
            </w:r>
          </w:p>
        </w:tc>
      </w:tr>
      <w:tr>
        <w:trPr>
          <w:trHeight w:val="215"/>
        </w:trPr>
        <w:tc>
          <w:tcPr>
            <w:tcW w:w="8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 payments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r>
      <w:tr>
        <w:trPr>
          <w:trHeight w:val="215"/>
        </w:trPr>
        <w:tc>
          <w:tcPr>
            <w:tcW w:w="8100" w:type="dxa"/>
            <w:vAlign w:val="bottom"/>
            <w:gridSpan w:val="2"/>
          </w:tcPr>
          <w:p>
            <w:pPr>
              <w:ind w:left="200"/>
              <w:spacing w:after="0"/>
              <w:rPr>
                <w:sz w:val="20"/>
                <w:szCs w:val="20"/>
                <w:color w:val="auto"/>
              </w:rPr>
            </w:pPr>
            <w:r>
              <w:rPr>
                <w:rFonts w:ascii="Arial" w:cs="Arial" w:eastAsia="Arial" w:hAnsi="Arial"/>
                <w:sz w:val="18"/>
                <w:szCs w:val="18"/>
                <w:color w:val="auto"/>
              </w:rPr>
              <w:t>Noncash investing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8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Acquisition of property and equipment for which payment is pending</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w:t>
            </w:r>
          </w:p>
        </w:tc>
      </w:tr>
      <w:tr>
        <w:trPr>
          <w:trHeight w:val="215"/>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Acquisition of property under capital lease arrangements</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Capital lease obligations initiated</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8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Share repurchases that have not settled</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-3916680</wp:posOffset>
            </wp:positionV>
            <wp:extent cx="7026275" cy="153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-3074035</wp:posOffset>
            </wp:positionV>
            <wp:extent cx="7026275" cy="1447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-2247900</wp:posOffset>
            </wp:positionV>
            <wp:extent cx="7026275" cy="153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-1958340</wp:posOffset>
            </wp:positionV>
            <wp:extent cx="7026275" cy="1447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026275" cy="170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26275" cy="1701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Organization and Business</w:t>
      </w:r>
    </w:p>
    <w:p>
      <w:pPr>
        <w:spacing w:after="0" w:line="119" w:lineRule="exact"/>
        <w:rPr>
          <w:sz w:val="20"/>
          <w:szCs w:val="20"/>
          <w:color w:val="auto"/>
        </w:rPr>
      </w:pPr>
    </w:p>
    <w:p>
      <w:pPr>
        <w:ind w:left="40" w:right="180" w:firstLine="268"/>
        <w:spacing w:after="0" w:line="252" w:lineRule="auto"/>
        <w:rPr>
          <w:sz w:val="20"/>
          <w:szCs w:val="20"/>
          <w:color w:val="auto"/>
        </w:rPr>
      </w:pPr>
      <w:r>
        <w:rPr>
          <w:rFonts w:ascii="Arial" w:cs="Arial" w:eastAsia="Arial" w:hAnsi="Arial"/>
          <w:sz w:val="18"/>
          <w:szCs w:val="18"/>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MYR Transmission Services Canada, Ltd., a British Columbia corporation; Northern Transmission Services, Ltd., a British Columbia corporation and Western Pacific Enterprises Ltd., a British Columbia corporation.</w:t>
      </w:r>
    </w:p>
    <w:p>
      <w:pPr>
        <w:spacing w:after="0" w:line="88" w:lineRule="exact"/>
        <w:rPr>
          <w:sz w:val="20"/>
          <w:szCs w:val="20"/>
          <w:color w:val="auto"/>
        </w:rPr>
      </w:pPr>
    </w:p>
    <w:p>
      <w:pPr>
        <w:ind w:left="40" w:firstLine="268"/>
        <w:spacing w:after="0" w:line="253"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The Company also provides C&amp;I electrical contracting services to general contractors, commercial and industrial facility owners, local governments and developers in the western and northeastern United States and western Canada.</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Accounting Policies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Consolidation</w:t>
      </w:r>
    </w:p>
    <w:p>
      <w:pPr>
        <w:spacing w:after="0" w:line="115" w:lineRule="exact"/>
        <w:rPr>
          <w:sz w:val="20"/>
          <w:szCs w:val="20"/>
          <w:color w:val="auto"/>
        </w:rPr>
      </w:pPr>
    </w:p>
    <w:p>
      <w:pPr>
        <w:ind w:left="40" w:right="120" w:firstLine="268"/>
        <w:spacing w:after="0" w:line="336" w:lineRule="auto"/>
        <w:rPr>
          <w:sz w:val="20"/>
          <w:szCs w:val="20"/>
          <w:color w:val="auto"/>
        </w:rPr>
      </w:pPr>
      <w:r>
        <w:rPr>
          <w:rFonts w:ascii="Arial" w:cs="Arial" w:eastAsia="Arial" w:hAnsi="Arial"/>
          <w:sz w:val="16"/>
          <w:szCs w:val="16"/>
          <w:color w:val="auto"/>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w:t>
      </w:r>
    </w:p>
    <w:p>
      <w:pPr>
        <w:spacing w:after="0" w:line="21" w:lineRule="exact"/>
        <w:rPr>
          <w:sz w:val="20"/>
          <w:szCs w:val="20"/>
          <w:color w:val="auto"/>
        </w:rPr>
      </w:pPr>
    </w:p>
    <w:p>
      <w:pPr>
        <w:ind w:left="40" w:firstLine="268"/>
        <w:spacing w:after="0" w:line="291" w:lineRule="auto"/>
        <w:rPr>
          <w:sz w:val="20"/>
          <w:szCs w:val="20"/>
          <w:color w:val="auto"/>
        </w:rPr>
      </w:pPr>
      <w:r>
        <w:rPr>
          <w:rFonts w:ascii="Arial" w:cs="Arial" w:eastAsia="Arial" w:hAnsi="Arial"/>
          <w:sz w:val="16"/>
          <w:szCs w:val="16"/>
          <w:color w:val="auto"/>
        </w:rPr>
        <w:t>The Company adjusted its presentation of accrued self-insurance liabilities and the related receivables for insurance claims in excess of deductibles to classify claim amounts estimated to be settled more than one year from the balance sheet date as non-current liabilities and non-current receivables in the second quarter of 2017. As a result of this adjustment, $32.1 million was adjusted from current portion of accrued self-insurance into non-current accrued self-insurance as of December 31, 2016. In addition, $14.7 million was adjusted from current portion of receivable for insurance claims in excess of deductibles into non-current receivable for insurance claims in excess of deductibles as December 31, 2016. The effect of such classification on the December 31, 2016 balance sheet was immaterial and had no effect on the previously reported statements of operations or cash flows.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ind w:left="40" w:right="140" w:firstLine="268"/>
        <w:spacing w:after="0" w:line="260" w:lineRule="auto"/>
        <w:rPr>
          <w:sz w:val="20"/>
          <w:szCs w:val="20"/>
          <w:color w:val="auto"/>
        </w:rPr>
      </w:pPr>
      <w:r>
        <w:rPr>
          <w:rFonts w:ascii="Arial" w:cs="Arial" w:eastAsia="Arial" w:hAnsi="Arial"/>
          <w:sz w:val="18"/>
          <w:szCs w:val="18"/>
          <w:color w:val="auto"/>
        </w:rPr>
        <w:t>Revenues under long-term contracts are accounted for under the percentage-of-completion method of accounting. Under the percentage-of-completion method, the Company estimates profit as the difference between total estimated revenue and total estimated cost of a contract and recognizes that profit over the contract term based on costs incurred under the cost-to-cost method.</w:t>
      </w:r>
    </w:p>
    <w:p>
      <w:pPr>
        <w:spacing w:after="0" w:line="78" w:lineRule="exact"/>
        <w:rPr>
          <w:sz w:val="20"/>
          <w:szCs w:val="20"/>
          <w:color w:val="auto"/>
        </w:rPr>
      </w:pPr>
    </w:p>
    <w:p>
      <w:pPr>
        <w:ind w:left="40" w:right="20" w:firstLine="268"/>
        <w:spacing w:after="0" w:line="271" w:lineRule="auto"/>
        <w:rPr>
          <w:sz w:val="20"/>
          <w:szCs w:val="20"/>
          <w:color w:val="auto"/>
        </w:rPr>
      </w:pPr>
      <w:r>
        <w:rPr>
          <w:rFonts w:ascii="Arial" w:cs="Arial" w:eastAsia="Arial" w:hAnsi="Arial"/>
          <w:sz w:val="17"/>
          <w:szCs w:val="17"/>
          <w:color w:val="auto"/>
        </w:rPr>
        <w:t>Revenues from the Company’s construction services are performed under fixed-price, time-and-equipment, time-and-materials, unit-price, and cost-plus fee contracts. For fixed-price and unit-price contracts, the Company uses the ratio of cost incurred to date on the contract to management’s estimate of the contract’s total cost, to determine the percentage of completion on each contract. This method is used as management considers expended costs to be the best available measure of progression of these contracts. Contract cost includes all direct costs on contracts, including labor and material, subcontractor costs and those indirect costs related to contract performance, such as supplies, fuel, tool repairs and depreciation. The Company recognizes revenues from construction services with fees based on time-and-materials, or cost-plus</w:t>
      </w:r>
    </w:p>
    <w:p>
      <w:pPr>
        <w:spacing w:after="0" w:line="200" w:lineRule="exact"/>
        <w:rPr>
          <w:sz w:val="20"/>
          <w:szCs w:val="20"/>
          <w:color w:val="auto"/>
        </w:rPr>
      </w:pPr>
    </w:p>
    <w:p>
      <w:pPr>
        <w:spacing w:after="0" w:line="31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right="140"/>
        <w:spacing w:after="0" w:line="272" w:lineRule="auto"/>
        <w:rPr>
          <w:sz w:val="20"/>
          <w:szCs w:val="20"/>
          <w:color w:val="auto"/>
        </w:rPr>
      </w:pPr>
      <w:r>
        <w:rPr>
          <w:rFonts w:ascii="Arial" w:cs="Arial" w:eastAsia="Arial" w:hAnsi="Arial"/>
          <w:sz w:val="18"/>
          <w:szCs w:val="18"/>
          <w:color w:val="auto"/>
        </w:rPr>
        <w:t>fee as the services are performed and amounts are earned. If contracts include contract incentive or bonus provisions, they are included in estimated contract revenues only when the achievement of such incentive or bonus is reasonably certain.</w:t>
      </w:r>
    </w:p>
    <w:p>
      <w:pPr>
        <w:spacing w:after="0" w:line="67" w:lineRule="exact"/>
        <w:rPr>
          <w:sz w:val="20"/>
          <w:szCs w:val="20"/>
          <w:color w:val="auto"/>
        </w:rPr>
      </w:pPr>
    </w:p>
    <w:p>
      <w:pPr>
        <w:ind w:left="40" w:right="60" w:firstLine="268"/>
        <w:spacing w:after="0" w:line="294" w:lineRule="auto"/>
        <w:rPr>
          <w:sz w:val="20"/>
          <w:szCs w:val="20"/>
          <w:color w:val="auto"/>
        </w:rPr>
      </w:pPr>
      <w:r>
        <w:rPr>
          <w:rFonts w:ascii="Arial" w:cs="Arial" w:eastAsia="Arial" w:hAnsi="Arial"/>
          <w:sz w:val="16"/>
          <w:szCs w:val="16"/>
          <w:color w:val="auto"/>
        </w:rPr>
        <w:t>Contract costs incurred to date and expected total contract costs are continuously monitored during the term of the contract. Changes in job performance, job conditions and final contract settlements are factors that influence management’s assessment of total contract value and the total estimated costs to complete those contracts and therefore, the Company’s profit recognition. These changes, which include contracts with estimated costs in excess of estimated revenues, are recognized in contract costs in the period in which the revisions are determined. At the point the Company anticipates a loss on a contract, the Company estimates the ultimate loss through completion and recognizes that loss in the period in which the possible loss was identified.</w:t>
      </w:r>
    </w:p>
    <w:p>
      <w:pPr>
        <w:spacing w:after="0" w:line="53"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Costs related to change orders and claims are recognized when incurred. Revenue from a change order is included in total estimated contract revenue when it is probable that the change order will result in an addition to contract value and can be reliably estimated. Revenue from a claim is included in total estimated contract revenues, only to the extent that contract costs related to the claim have been incurred, when it is probable that the claim will result in an addition to contract value which can be reliably estimated. No profit is recognized on a claim until final settlement occurs.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provides warranties to customers on a basis customary to the industry; however, the warranty period does not typically exceed one year.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Historically, warranty claims have not been material to the Company.</w:t>
      </w:r>
    </w:p>
    <w:p>
      <w:pPr>
        <w:spacing w:after="0" w:line="102" w:lineRule="exact"/>
        <w:rPr>
          <w:sz w:val="20"/>
          <w:szCs w:val="20"/>
          <w:color w:val="auto"/>
        </w:rPr>
      </w:pPr>
    </w:p>
    <w:p>
      <w:pPr>
        <w:ind w:left="40" w:right="20" w:firstLine="268"/>
        <w:spacing w:after="0" w:line="272" w:lineRule="auto"/>
        <w:rPr>
          <w:sz w:val="20"/>
          <w:szCs w:val="20"/>
          <w:color w:val="auto"/>
        </w:rPr>
      </w:pPr>
      <w:r>
        <w:rPr>
          <w:rFonts w:ascii="Arial" w:cs="Arial" w:eastAsia="Arial" w:hAnsi="Arial"/>
          <w:sz w:val="18"/>
          <w:szCs w:val="18"/>
          <w:color w:val="auto"/>
        </w:rPr>
        <w:t>Total revenues do not include sales tax as the Company considers itself a pass-through conduit for collecting and remitting sales taxes. Sales tax and value added tax collected from customers is included in other current liabilities on our consolidated balance sheets.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Joint Ventures</w:t>
      </w:r>
    </w:p>
    <w:p>
      <w:pPr>
        <w:spacing w:after="0" w:line="115" w:lineRule="exact"/>
        <w:rPr>
          <w:sz w:val="20"/>
          <w:szCs w:val="20"/>
          <w:color w:val="auto"/>
        </w:rPr>
      </w:pPr>
    </w:p>
    <w:p>
      <w:pPr>
        <w:ind w:left="40" w:right="20" w:firstLine="268"/>
        <w:spacing w:after="0" w:line="268" w:lineRule="auto"/>
        <w:rPr>
          <w:sz w:val="20"/>
          <w:szCs w:val="20"/>
          <w:color w:val="auto"/>
        </w:rPr>
      </w:pPr>
      <w:r>
        <w:rPr>
          <w:rFonts w:ascii="Arial" w:cs="Arial" w:eastAsia="Arial" w:hAnsi="Arial"/>
          <w:sz w:val="17"/>
          <w:szCs w:val="17"/>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consolidated balance sheets. The Company’s interests in any profits and assets and its share of any losses and liabilities are recognized based on its stated percentage partnership interest in the joint venture. The Company includes only its percentage ownership of each joint venture in is backlog.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5" w:lineRule="exact"/>
        <w:rPr>
          <w:sz w:val="20"/>
          <w:szCs w:val="20"/>
          <w:color w:val="auto"/>
        </w:rPr>
      </w:pPr>
    </w:p>
    <w:p>
      <w:pPr>
        <w:ind w:left="40" w:right="220" w:firstLine="268"/>
        <w:spacing w:after="0" w:line="260" w:lineRule="auto"/>
        <w:rPr>
          <w:sz w:val="20"/>
          <w:szCs w:val="20"/>
          <w:color w:val="auto"/>
        </w:rPr>
      </w:pPr>
      <w:r>
        <w:rPr>
          <w:rFonts w:ascii="Arial" w:cs="Arial" w:eastAsia="Arial" w:hAnsi="Arial"/>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w:t>
      </w:r>
    </w:p>
    <w:p>
      <w:pPr>
        <w:spacing w:after="0" w:line="200" w:lineRule="exact"/>
        <w:rPr>
          <w:sz w:val="20"/>
          <w:szCs w:val="20"/>
          <w:color w:val="auto"/>
        </w:rPr>
      </w:pPr>
    </w:p>
    <w:p>
      <w:pPr>
        <w:spacing w:after="0" w:line="3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spacing w:after="0" w:line="253" w:lineRule="auto"/>
        <w:rPr>
          <w:sz w:val="20"/>
          <w:szCs w:val="20"/>
          <w:color w:val="auto"/>
        </w:rPr>
      </w:pPr>
      <w:r>
        <w:rPr>
          <w:rFonts w:ascii="Arial" w:cs="Arial" w:eastAsia="Arial" w:hAnsi="Arial"/>
          <w:sz w:val="18"/>
          <w:szCs w:val="18"/>
          <w:color w:val="auto"/>
        </w:rPr>
        <w:t>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assets and liabilities, and ineffective long-term assets and liabilities are recorded in the “other income, net” line on the consolidated statements of operations. For the year ended December 31, 2017, the Company recorded an insignificant amount of foreign currency losses. Effective foreign currency transaction gains and losses, arising primarily from long-term assets and liabilities are recorded in the foreign currency translation adjustment line on the consolidated statements of comprehensive income.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left="40" w:right="60" w:firstLine="268"/>
        <w:spacing w:after="0" w:line="260"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spacing w:after="0" w:line="78" w:lineRule="exact"/>
        <w:rPr>
          <w:sz w:val="20"/>
          <w:szCs w:val="20"/>
          <w:color w:val="auto"/>
        </w:rPr>
      </w:pPr>
    </w:p>
    <w:p>
      <w:pPr>
        <w:ind w:left="40" w:right="380" w:firstLine="268"/>
        <w:spacing w:after="0" w:line="260" w:lineRule="auto"/>
        <w:rPr>
          <w:sz w:val="20"/>
          <w:szCs w:val="20"/>
          <w:color w:val="auto"/>
        </w:rPr>
      </w:pPr>
      <w:r>
        <w:rPr>
          <w:rFonts w:ascii="Arial" w:cs="Arial" w:eastAsia="Arial" w:hAnsi="Arial"/>
          <w:sz w:val="18"/>
          <w:szCs w:val="18"/>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 Actual results could differ from these estimates.</w:t>
      </w:r>
    </w:p>
    <w:p>
      <w:pPr>
        <w:spacing w:after="0" w:line="78" w:lineRule="exact"/>
        <w:rPr>
          <w:sz w:val="20"/>
          <w:szCs w:val="20"/>
          <w:color w:val="auto"/>
        </w:rPr>
      </w:pPr>
    </w:p>
    <w:p>
      <w:pPr>
        <w:ind w:left="40" w:right="320" w:firstLine="268"/>
        <w:spacing w:after="0" w:line="272" w:lineRule="auto"/>
        <w:rPr>
          <w:sz w:val="20"/>
          <w:szCs w:val="20"/>
          <w:color w:val="auto"/>
        </w:rPr>
      </w:pPr>
      <w:r>
        <w:rPr>
          <w:rFonts w:ascii="Arial" w:cs="Arial" w:eastAsia="Arial" w:hAnsi="Arial"/>
          <w:sz w:val="18"/>
          <w:szCs w:val="18"/>
          <w:color w:val="auto"/>
        </w:rPr>
        <w:t>In 2017, the Company recognized revenues of $13.7 million related to significant change orders and/or claims that had been included as contract price adjustments on certain contracts which were in the process of being negotiated in the normal course of business.</w:t>
      </w:r>
    </w:p>
    <w:p>
      <w:pPr>
        <w:spacing w:after="0" w:line="67" w:lineRule="exact"/>
        <w:rPr>
          <w:sz w:val="20"/>
          <w:szCs w:val="20"/>
          <w:color w:val="auto"/>
        </w:rPr>
      </w:pPr>
    </w:p>
    <w:p>
      <w:pPr>
        <w:ind w:left="40" w:firstLine="268"/>
        <w:spacing w:after="0" w:line="289" w:lineRule="auto"/>
        <w:rPr>
          <w:sz w:val="20"/>
          <w:szCs w:val="20"/>
          <w:color w:val="auto"/>
        </w:rPr>
      </w:pPr>
      <w:r>
        <w:rPr>
          <w:rFonts w:ascii="Arial" w:cs="Arial" w:eastAsia="Arial" w:hAnsi="Arial"/>
          <w:sz w:val="16"/>
          <w:szCs w:val="16"/>
          <w:color w:val="auto"/>
        </w:rPr>
        <w:t>The percentage of completion method of accounting requires the Company to make estimates about the expected revenue and gross profit on each of its contracts in process. The estimates are reviewed and revised quarterly, as needed. During the year ended December 31, 2017, changes in estimates pertaining to certain projects decreased consolidated gross margin by 0.7%, which resulted in decreases in operating income of $10.4 million, net income of $6.2 million and diluted earnings per common share of $0.38. During the year ended December 31, 2016, changes in estimates pertaining to certain projects decreased consolidated gross margin by 0.2%, which resulted in decreases in operating income of $2.6 million, net income of $1.4 million and diluted earnings per common share of $0.08. During the year ended December 31, 2015, changes in estimates pertaining to certain projects increased consolidated gross margin by 0.5%, which resulted in increases in operating income of $5.9 million, net income of $3.6 million and diluted earnings per common share of $0.17.</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Advertising</w:t>
      </w:r>
    </w:p>
    <w:p>
      <w:pPr>
        <w:spacing w:after="0" w:line="115" w:lineRule="exact"/>
        <w:rPr>
          <w:sz w:val="20"/>
          <w:szCs w:val="20"/>
          <w:color w:val="auto"/>
        </w:rPr>
      </w:pPr>
    </w:p>
    <w:p>
      <w:pPr>
        <w:ind w:left="40" w:right="40" w:firstLine="268"/>
        <w:spacing w:after="0" w:line="272" w:lineRule="auto"/>
        <w:rPr>
          <w:sz w:val="20"/>
          <w:szCs w:val="20"/>
          <w:color w:val="auto"/>
        </w:rPr>
      </w:pPr>
      <w:r>
        <w:rPr>
          <w:rFonts w:ascii="Arial" w:cs="Arial" w:eastAsia="Arial" w:hAnsi="Arial"/>
          <w:sz w:val="18"/>
          <w:szCs w:val="18"/>
          <w:color w:val="auto"/>
        </w:rPr>
        <w:t>Advertising costs are expensed when incurred. Advertising costs, included in selling, general and administrative expenses, were $0.7 million, $0.6 million and $0.5 million for the years ended December 31, 2017, 2016 and 2015, respectively.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left="40" w:firstLine="268"/>
        <w:spacing w:after="0" w:line="298" w:lineRule="auto"/>
        <w:rPr>
          <w:sz w:val="20"/>
          <w:szCs w:val="20"/>
          <w:color w:val="auto"/>
        </w:rPr>
      </w:pPr>
      <w:r>
        <w:rPr>
          <w:rFonts w:ascii="Arial" w:cs="Arial" w:eastAsia="Arial" w:hAnsi="Arial"/>
          <w:sz w:val="16"/>
          <w:szCs w:val="16"/>
          <w:color w:val="auto"/>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spacing w:after="0" w:line="52" w:lineRule="exact"/>
        <w:rPr>
          <w:sz w:val="20"/>
          <w:szCs w:val="20"/>
          <w:color w:val="auto"/>
        </w:rPr>
      </w:pPr>
    </w:p>
    <w:p>
      <w:pPr>
        <w:ind w:left="40" w:right="560" w:firstLine="268"/>
        <w:spacing w:after="0" w:line="302" w:lineRule="auto"/>
        <w:rPr>
          <w:sz w:val="20"/>
          <w:szCs w:val="20"/>
          <w:color w:val="auto"/>
        </w:rPr>
      </w:pPr>
      <w:r>
        <w:rPr>
          <w:rFonts w:ascii="Arial" w:cs="Arial" w:eastAsia="Arial" w:hAnsi="Arial"/>
          <w:sz w:val="17"/>
          <w:szCs w:val="17"/>
          <w:color w:val="auto"/>
        </w:rPr>
        <w:t>Interest and penalties related to uncertain income tax positions are included in income tax expense in the accompanying consolidated statements of operations. Interest and penalties actually incurred are charged to interest expense and the “other income, net” line, respectively.</w:t>
      </w: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0" w:right="20" w:firstLine="268"/>
        <w:spacing w:after="0" w:line="286" w:lineRule="auto"/>
        <w:rPr>
          <w:sz w:val="20"/>
          <w:szCs w:val="20"/>
          <w:color w:val="auto"/>
        </w:rPr>
      </w:pPr>
      <w:r>
        <w:rPr>
          <w:rFonts w:ascii="Arial" w:cs="Arial" w:eastAsia="Arial" w:hAnsi="Arial"/>
          <w:sz w:val="16"/>
          <w:szCs w:val="16"/>
          <w:color w:val="auto"/>
        </w:rPr>
        <w:t xml:space="preserve">The Company determines compensation expense for stock-based awards based on the estimated fair values at the grant date and recognize the related compensation expense over the vesting period. The Company uses the straight-line amortization method to recognize compensation expense related to stock-based awards, such as restricted stock and phantom stock,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Upon adoption ASU No. 2016-09, </w:t>
      </w:r>
      <w:r>
        <w:rPr>
          <w:rFonts w:ascii="Arial" w:cs="Arial" w:eastAsia="Arial" w:hAnsi="Arial"/>
          <w:sz w:val="16"/>
          <w:szCs w:val="16"/>
          <w:i w:val="1"/>
          <w:iCs w:val="1"/>
          <w:color w:val="auto"/>
        </w:rPr>
        <w:t xml:space="preserve">Compensation — Stock Compensation (Topic 718) </w:t>
      </w:r>
      <w:r>
        <w:rPr>
          <w:rFonts w:ascii="Arial" w:cs="Arial" w:eastAsia="Arial" w:hAnsi="Arial"/>
          <w:sz w:val="16"/>
          <w:szCs w:val="16"/>
          <w:color w:val="auto"/>
        </w:rPr>
        <w:t>in January of 2017, the Company elected to discontinue estimating future forfeitures and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forfeitures as they occur. Prior to the adoption, the Company used historical data to estimate the forfeiture rate applied to stock grants. Shares issued under the Company’s stock-based compensation program are taken out of authorized but unissued shares.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The Company computes earnings per share using the treasury stock method. Under the treasury stock method, basic earnings per share are computed by dividing net income by the weighted average number of common shares outstanding during the period.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ind w:left="40" w:right="60" w:firstLine="268"/>
        <w:spacing w:after="0" w:line="273" w:lineRule="auto"/>
        <w:rPr>
          <w:sz w:val="20"/>
          <w:szCs w:val="20"/>
          <w:color w:val="auto"/>
        </w:rPr>
      </w:pPr>
      <w:r>
        <w:rPr>
          <w:rFonts w:ascii="Arial" w:cs="Arial" w:eastAsia="Arial" w:hAnsi="Arial"/>
          <w:sz w:val="17"/>
          <w:szCs w:val="17"/>
          <w:color w:val="auto"/>
        </w:rPr>
        <w:t>The Company considers all highly liquid investments purchased with an original maturity of three months or less to be cash equivalents. As of December 31, 2017 and 2016, the Company held its cash in checking accounts or in highly liquid money market funds. The Company’s banking arrangements allow the Company to fund outstanding checks when presented to financial institutions for payment. The Company funds all intraday bank balances overdrafts during the same business day. Checks issued and outstanding in excess of bank balance are recorded in accounts payable in the Consolidated Balance Sheets and are reflected as a financing activity in the Consolidated Statements of Cash Flows.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5" w:lineRule="exact"/>
        <w:rPr>
          <w:sz w:val="20"/>
          <w:szCs w:val="20"/>
          <w:color w:val="auto"/>
        </w:rPr>
      </w:pPr>
    </w:p>
    <w:p>
      <w:pPr>
        <w:ind w:left="40" w:right="20" w:firstLine="268"/>
        <w:spacing w:after="0" w:line="289" w:lineRule="auto"/>
        <w:rPr>
          <w:sz w:val="20"/>
          <w:szCs w:val="20"/>
          <w:color w:val="auto"/>
        </w:rPr>
      </w:pPr>
      <w:r>
        <w:rPr>
          <w:rFonts w:ascii="Arial" w:cs="Arial" w:eastAsia="Arial" w:hAnsi="Arial"/>
          <w:sz w:val="16"/>
          <w:szCs w:val="16"/>
          <w:color w:val="auto"/>
        </w:rPr>
        <w:t>The Company does not charge interest to its customers and carries its customer receivables at their face amounts, less an allowance for doubtful accounts. Included in accounts receivable are balances billed to customers pursuant to retainage provisions in certain contracts that are due upon completion of the contract and acceptance by the customer, or earlier as provided by the contract. Based on the Company’s experience in recent years, the majority of customer balances at each balance sheet date are collected within twelve months. As is common practice in the industry, the Company classifies all accounts receivable, including retainage, as current assets. The contracting cycle for certain long-term contracts may extend beyond one year, and accordingly, collection of retainage on those contracts may extend beyond one year. The Company expects a majority of the retainage recorded at December 31, 2017 to be collected within one year, with the remaining to be collected in the subsequent year as the related contracts are completed.</w:t>
      </w:r>
    </w:p>
    <w:p>
      <w:pPr>
        <w:spacing w:after="0" w:line="59" w:lineRule="exact"/>
        <w:rPr>
          <w:sz w:val="20"/>
          <w:szCs w:val="20"/>
          <w:color w:val="auto"/>
        </w:rPr>
      </w:pPr>
    </w:p>
    <w:p>
      <w:pPr>
        <w:ind w:left="40" w:right="20" w:firstLine="268"/>
        <w:spacing w:after="0" w:line="336" w:lineRule="auto"/>
        <w:rPr>
          <w:sz w:val="20"/>
          <w:szCs w:val="20"/>
          <w:color w:val="auto"/>
        </w:rPr>
      </w:pPr>
      <w:r>
        <w:rPr>
          <w:rFonts w:ascii="Arial" w:cs="Arial" w:eastAsia="Arial" w:hAnsi="Arial"/>
          <w:sz w:val="16"/>
          <w:szCs w:val="16"/>
          <w:color w:val="auto"/>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w:t>
      </w:r>
    </w:p>
    <w:p>
      <w:pPr>
        <w:spacing w:after="0" w:line="200" w:lineRule="exact"/>
        <w:rPr>
          <w:sz w:val="20"/>
          <w:szCs w:val="20"/>
          <w:color w:val="auto"/>
        </w:rPr>
      </w:pPr>
    </w:p>
    <w:p>
      <w:pPr>
        <w:spacing w:after="0" w:line="26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right="180"/>
        <w:spacing w:after="0" w:line="260" w:lineRule="auto"/>
        <w:rPr>
          <w:sz w:val="20"/>
          <w:szCs w:val="20"/>
          <w:color w:val="auto"/>
        </w:rPr>
      </w:pPr>
      <w:r>
        <w:rPr>
          <w:rFonts w:ascii="Arial" w:cs="Arial" w:eastAsia="Arial" w:hAnsi="Arial"/>
          <w:sz w:val="18"/>
          <w:szCs w:val="18"/>
          <w:color w:val="auto"/>
        </w:rPr>
        <w:t>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Classification of Construction Contract-related Assets and Liabilities</w:t>
      </w:r>
    </w:p>
    <w:p>
      <w:pPr>
        <w:spacing w:after="0" w:line="115" w:lineRule="exact"/>
        <w:rPr>
          <w:sz w:val="20"/>
          <w:szCs w:val="20"/>
          <w:color w:val="auto"/>
        </w:rPr>
      </w:pPr>
    </w:p>
    <w:p>
      <w:pPr>
        <w:ind w:left="40" w:right="100" w:firstLine="268"/>
        <w:spacing w:after="0" w:line="254" w:lineRule="auto"/>
        <w:rPr>
          <w:sz w:val="20"/>
          <w:szCs w:val="20"/>
          <w:color w:val="auto"/>
        </w:rPr>
      </w:pPr>
      <w:r>
        <w:rPr>
          <w:rFonts w:ascii="Arial" w:cs="Arial" w:eastAsia="Arial" w:hAnsi="Arial"/>
          <w:sz w:val="18"/>
          <w:szCs w:val="18"/>
          <w:color w:val="auto"/>
        </w:rPr>
        <w:t>Costs and estimated earnings in excess of billings on uncompleted contracts are presented as a current asset in the accompanying consolidated balance sheets, and billings in excess of costs and estimated earnings on uncompleted contracts are presented as a current liability in the accompanying consolidated balance sheets. The Company’s contracts vary in duration, with the duration of some larger contracts exceeding one year. Consistent with industry practices, the Company includes the amounts realizable and payable under contracts, which may extend beyond one year, in current assets and current liabilities. These balances are generally settled within one year.</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5" w:lineRule="exact"/>
        <w:rPr>
          <w:sz w:val="20"/>
          <w:szCs w:val="20"/>
          <w:color w:val="auto"/>
        </w:rPr>
      </w:pPr>
    </w:p>
    <w:p>
      <w:pPr>
        <w:ind w:left="40" w:right="80" w:firstLine="268"/>
        <w:spacing w:after="0" w:line="256" w:lineRule="auto"/>
        <w:rPr>
          <w:sz w:val="20"/>
          <w:szCs w:val="20"/>
          <w:color w:val="auto"/>
        </w:rPr>
      </w:pPr>
      <w:r>
        <w:rPr>
          <w:rFonts w:ascii="Arial" w:cs="Arial" w:eastAsia="Arial" w:hAnsi="Arial"/>
          <w:sz w:val="18"/>
          <w:szCs w:val="18"/>
          <w:color w:val="auto"/>
        </w:rPr>
        <w:t>Property and equipment is carried at cost.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color w:val="auto"/>
        </w:rPr>
        <w:t>The Company leases certain real estate, construction equipment and office equipment. Real estate is generally leased for terms up to ten years in duration. The terms and conditions of leases (such as renewal or purchase options and escalation clauses), if material, are reviewed at inception to determine the classification (operating or capital) of the lease.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Accounting Standards Codification (“ASC”) Topic 840-10-25.</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Insurance</w:t>
      </w:r>
    </w:p>
    <w:p>
      <w:pPr>
        <w:spacing w:after="0" w:line="115" w:lineRule="exact"/>
        <w:rPr>
          <w:sz w:val="20"/>
          <w:szCs w:val="20"/>
          <w:color w:val="auto"/>
        </w:rPr>
      </w:pPr>
    </w:p>
    <w:p>
      <w:pPr>
        <w:jc w:val="both"/>
        <w:ind w:left="40" w:right="220" w:firstLine="268"/>
        <w:spacing w:after="0" w:line="298" w:lineRule="auto"/>
        <w:rPr>
          <w:sz w:val="20"/>
          <w:szCs w:val="20"/>
          <w:color w:val="auto"/>
        </w:rPr>
      </w:pPr>
      <w:r>
        <w:rPr>
          <w:rFonts w:ascii="Arial" w:cs="Arial" w:eastAsia="Arial" w:hAnsi="Arial"/>
          <w:sz w:val="16"/>
          <w:szCs w:val="16"/>
          <w:color w:val="auto"/>
        </w:rPr>
        <w:t>The Company carries insurance policies, which are subject to certain deductibles, for workers’ compensation, general liability, automobile liability and other coverages. The deductible for each line of coverage is up to $1.0 million, except for wildfire coverage which has a deductible of $2.0 million. Certain health benefit plans are subject to a deductible up to $0.2 million, for qualified individuals. Losses up to the deductible amounts are accrued based upon the Company’s estimates of the ultimate liability for claims reported and an estimate of claims incurred but not yet reported.</w:t>
      </w:r>
    </w:p>
    <w:p>
      <w:pPr>
        <w:spacing w:after="0" w:line="52" w:lineRule="exact"/>
        <w:rPr>
          <w:sz w:val="20"/>
          <w:szCs w:val="20"/>
          <w:color w:val="auto"/>
        </w:rPr>
      </w:pPr>
    </w:p>
    <w:p>
      <w:pPr>
        <w:jc w:val="both"/>
        <w:ind w:left="40" w:right="160" w:firstLine="268"/>
        <w:spacing w:after="0" w:line="260"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in the consolidated balance sheets.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5" w:lineRule="exact"/>
        <w:rPr>
          <w:sz w:val="20"/>
          <w:szCs w:val="20"/>
          <w:color w:val="auto"/>
        </w:rPr>
      </w:pPr>
    </w:p>
    <w:p>
      <w:pPr>
        <w:jc w:val="both"/>
        <w:ind w:left="40" w:right="240" w:firstLine="268"/>
        <w:spacing w:after="0" w:line="283" w:lineRule="auto"/>
        <w:rPr>
          <w:sz w:val="20"/>
          <w:szCs w:val="20"/>
          <w:color w:val="auto"/>
        </w:rPr>
      </w:pPr>
      <w:r>
        <w:rPr>
          <w:rFonts w:ascii="Arial" w:cs="Arial" w:eastAsia="Arial" w:hAnsi="Arial"/>
          <w:sz w:val="17"/>
          <w:szCs w:val="17"/>
          <w:color w:val="auto"/>
        </w:rPr>
        <w:t>Goodwill and intangible assets with indefinite lives are not amortized. Intangible assets with finite lives are amortized on a straight-line basis over their estimated useful lives. The Company reviews goodwill and intangible assets with indefinite lives for impairment on an annual basis at the beginning of the fourth quarter, or when circumstances change, such as a significant adverse change in the business climate or the decision to</w:t>
      </w:r>
    </w:p>
    <w:p>
      <w:pPr>
        <w:spacing w:after="0" w:line="200" w:lineRule="exact"/>
        <w:rPr>
          <w:sz w:val="20"/>
          <w:szCs w:val="20"/>
          <w:color w:val="auto"/>
        </w:rPr>
      </w:pPr>
    </w:p>
    <w:p>
      <w:pPr>
        <w:spacing w:after="0" w:line="30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right="100"/>
        <w:spacing w:after="0" w:line="287" w:lineRule="auto"/>
        <w:rPr>
          <w:sz w:val="20"/>
          <w:szCs w:val="20"/>
          <w:color w:val="auto"/>
        </w:rPr>
      </w:pPr>
      <w:r>
        <w:rPr>
          <w:rFonts w:ascii="Arial" w:cs="Arial" w:eastAsia="Arial" w:hAnsi="Arial"/>
          <w:sz w:val="16"/>
          <w:szCs w:val="16"/>
          <w:color w:val="auto"/>
        </w:rPr>
        <w:t>sell a business, both of which would indicate that impairment may have occurred. The Company performs a qualitative assessment to determine whether it is necessary to perform a two-step goodwill impairment test. The qualitative assessment considers financial, industry, segment and macroeconomic factors. If the qualitative assessment indicates a potential for impairment, the two-step method is used to determine if impairment exists. The two-step method begins with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The company also performs a qualitative assessment on intangible assets with indefinite lives. If the qualitative assessment indicates a potential for impairment, a quantitative impairment test would be performed to compare the fair value of the indefinite-lived intangible asset with its carrying value. If the carrying value of goodwill or other indefinite-lived assets exceeds its implied fair value, an impairment charge would be recorded in the statement of operations.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a result of the annual qualitative review process in 2017 and 2016, the Company determined it was not necessary to perform a two-step analysis.</w:t>
      </w:r>
    </w:p>
    <w:p>
      <w:pPr>
        <w:spacing w:after="0" w:line="138" w:lineRule="exact"/>
        <w:rPr>
          <w:sz w:val="20"/>
          <w:szCs w:val="20"/>
          <w:color w:val="auto"/>
        </w:rPr>
      </w:pPr>
    </w:p>
    <w:p>
      <w:pPr>
        <w:ind w:left="40" w:right="20" w:firstLine="268"/>
        <w:spacing w:after="0" w:line="273" w:lineRule="auto"/>
        <w:rPr>
          <w:sz w:val="20"/>
          <w:szCs w:val="20"/>
          <w:color w:val="auto"/>
        </w:rPr>
      </w:pPr>
      <w:r>
        <w:rPr>
          <w:rFonts w:ascii="Arial" w:cs="Arial" w:eastAsia="Arial" w:hAnsi="Arial"/>
          <w:sz w:val="17"/>
          <w:szCs w:val="17"/>
          <w:color w:val="auto"/>
        </w:rPr>
        <w:t>In 2015, the Company determined, based on its qualitative analysis, that it was appropriate to perform a two-step analysis. The first step involves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If the carrying value of goodwill exceeds its implied fair value, an impairment charge is recorded in the statement of operations. The step one analysis did not indicate that the Company’s goodwill or indefinite-lived intangible assets were impaired. As a result, no step two analysis was performed.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Concentrations</w:t>
      </w:r>
    </w:p>
    <w:p>
      <w:pPr>
        <w:spacing w:after="0" w:line="115" w:lineRule="exact"/>
        <w:rPr>
          <w:sz w:val="20"/>
          <w:szCs w:val="20"/>
          <w:color w:val="auto"/>
        </w:rPr>
      </w:pPr>
    </w:p>
    <w:p>
      <w:pPr>
        <w:ind w:left="40" w:right="120" w:firstLine="268"/>
        <w:spacing w:after="0" w:line="260"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spacing w:after="0" w:line="78" w:lineRule="exact"/>
        <w:rPr>
          <w:sz w:val="20"/>
          <w:szCs w:val="20"/>
          <w:color w:val="auto"/>
        </w:rPr>
      </w:pPr>
    </w:p>
    <w:p>
      <w:pPr>
        <w:ind w:left="40" w:firstLine="268"/>
        <w:spacing w:after="0" w:line="287" w:lineRule="auto"/>
        <w:rPr>
          <w:sz w:val="20"/>
          <w:szCs w:val="20"/>
          <w:color w:val="auto"/>
        </w:rPr>
      </w:pPr>
      <w:r>
        <w:rPr>
          <w:rFonts w:ascii="Arial" w:cs="Arial" w:eastAsia="Arial" w:hAnsi="Arial"/>
          <w:sz w:val="16"/>
          <w:szCs w:val="16"/>
          <w:color w:val="auto"/>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2017, none of our customers individually exceeded 10.0% of accounts receivable. As of December 31, 2016, one customer individually exceeded 10.0% of consolidated accounts receivable with an aggregate balance of approximately 11.2% of the total consolidated accounts receivable amount (excluding the impact of allowance for doubtful accounts). The Company believes the terms and conditions in its contracts, billing and collection policies are adequate to minimize the potential credit risk.</w:t>
      </w:r>
    </w:p>
    <w:p>
      <w:pPr>
        <w:spacing w:after="0" w:line="64" w:lineRule="exact"/>
        <w:rPr>
          <w:sz w:val="20"/>
          <w:szCs w:val="20"/>
          <w:color w:val="auto"/>
        </w:rPr>
      </w:pPr>
    </w:p>
    <w:p>
      <w:pPr>
        <w:ind w:left="40" w:right="180" w:firstLine="268"/>
        <w:spacing w:after="0" w:line="256" w:lineRule="auto"/>
        <w:rPr>
          <w:sz w:val="20"/>
          <w:szCs w:val="20"/>
          <w:color w:val="auto"/>
        </w:rPr>
      </w:pPr>
      <w:r>
        <w:rPr>
          <w:rFonts w:ascii="Arial" w:cs="Arial" w:eastAsia="Arial" w:hAnsi="Arial"/>
          <w:sz w:val="18"/>
          <w:szCs w:val="18"/>
          <w:color w:val="auto"/>
        </w:rPr>
        <w:t>The Company is subject to a concentration of risk because it derives a significant portion of its revenues from a few customers. The Company’s top ten customers accounted for approximately 40.4%, 46.4%, and 44.6% of consolidated revenues for the years ended December 31, 2017, 2016 and 2015, respectively. For the year ended December 31, 2017, one T&amp;D customer accounted for 10.7% of our revenues. For the years ended December 31, 2016 and 2015, no single customer accounted for more than 10.0% of annual revenues.</w:t>
      </w:r>
    </w:p>
    <w:p>
      <w:pPr>
        <w:spacing w:after="0" w:line="83" w:lineRule="exact"/>
        <w:rPr>
          <w:sz w:val="20"/>
          <w:szCs w:val="20"/>
          <w:color w:val="auto"/>
        </w:rPr>
      </w:pPr>
    </w:p>
    <w:p>
      <w:pPr>
        <w:jc w:val="both"/>
        <w:ind w:left="40" w:right="140" w:firstLine="268"/>
        <w:spacing w:after="0" w:line="336" w:lineRule="auto"/>
        <w:rPr>
          <w:sz w:val="20"/>
          <w:szCs w:val="20"/>
          <w:color w:val="auto"/>
        </w:rPr>
      </w:pPr>
      <w:r>
        <w:rPr>
          <w:rFonts w:ascii="Arial" w:cs="Arial" w:eastAsia="Arial" w:hAnsi="Arial"/>
          <w:sz w:val="16"/>
          <w:szCs w:val="16"/>
          <w:color w:val="auto"/>
        </w:rPr>
        <w:t>As of December 31, 2017, approximately 91% of the Company’s craft labor employees were covered by collective bargaining agreements. Although the majority of these agreements prohibit strikes and work stoppages, the Company cannot be certain that strikes or work stoppages will not occur in the future.</w:t>
      </w:r>
    </w:p>
    <w:p>
      <w:pPr>
        <w:spacing w:after="0" w:line="200" w:lineRule="exact"/>
        <w:rPr>
          <w:sz w:val="20"/>
          <w:szCs w:val="20"/>
          <w:color w:val="auto"/>
        </w:rPr>
      </w:pPr>
    </w:p>
    <w:p>
      <w:pPr>
        <w:spacing w:after="0" w:line="26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may have minimal impact on its Financial Statements.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5" w:lineRule="exact"/>
        <w:rPr>
          <w:sz w:val="20"/>
          <w:szCs w:val="20"/>
          <w:color w:val="auto"/>
        </w:rPr>
      </w:pPr>
    </w:p>
    <w:p>
      <w:pPr>
        <w:ind w:left="40" w:right="20" w:firstLine="268"/>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The amendments under this pronouncement made modifications to the accounting treatment for forfeitures, required withholding on stock compensation and the financial statement presentation of excess tax benefits or deficiencies and certain components of stock compensation. The standard was effective for interim and annual reporting periods beginning after December 15, 2016, with early adoption permitted. On January 1, 2017, the Company adopted this ASU on a prospective basis except for forfeitures, which it adopted on a modified retrospective basis. The adoption of this ASU had the following impacts:</w:t>
      </w:r>
    </w:p>
    <w:p>
      <w:pPr>
        <w:spacing w:after="0" w:line="68" w:lineRule="exact"/>
        <w:rPr>
          <w:sz w:val="20"/>
          <w:szCs w:val="20"/>
          <w:color w:val="auto"/>
        </w:rPr>
      </w:pPr>
    </w:p>
    <w:p>
      <w:pPr>
        <w:ind w:left="600" w:right="440" w:hanging="326"/>
        <w:spacing w:after="0" w:line="272"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Excess tax benefits of $0.8 million were reflected as income tax benefits in the 2017 Consolidated Statements of Operations and Comprehensive Income. Prior to adoption of this ASU, this amount would have been recorded in additional paid-in capital.</w:t>
      </w:r>
    </w:p>
    <w:p>
      <w:pPr>
        <w:spacing w:after="0" w:line="67" w:lineRule="exact"/>
        <w:rPr>
          <w:rFonts w:ascii="Arial" w:cs="Arial" w:eastAsia="Arial" w:hAnsi="Arial"/>
          <w:sz w:val="18"/>
          <w:szCs w:val="18"/>
          <w:color w:val="auto"/>
        </w:rPr>
      </w:pPr>
    </w:p>
    <w:p>
      <w:pPr>
        <w:ind w:left="600" w:right="200" w:hanging="326"/>
        <w:spacing w:after="0" w:line="276"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adoption of this ASU eliminated the additional paid-in capital pool (“APIC Pool”) resulting in the excess tax benefits and deficiencies being excluded from assumed future proceeds in the calculation of diluted shares, which caused an immaterial increase in diluted weighted average shares outstanding for 2017. The extent of excess tax benefits/deficiencies is subject to variation in the Company’s stock price and the timing/extent of restricted stock, performance share and phantom stock vesting and stock option exercises.</w:t>
      </w:r>
    </w:p>
    <w:p>
      <w:pPr>
        <w:spacing w:after="0" w:line="66" w:lineRule="exact"/>
        <w:rPr>
          <w:rFonts w:ascii="Arial" w:cs="Arial" w:eastAsia="Arial" w:hAnsi="Arial"/>
          <w:sz w:val="17"/>
          <w:szCs w:val="17"/>
          <w:color w:val="auto"/>
        </w:rPr>
      </w:pPr>
    </w:p>
    <w:p>
      <w:pPr>
        <w:ind w:left="600" w:right="60" w:hanging="326"/>
        <w:spacing w:after="0" w:line="336"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elected to discontinue estimating forfeitures and will account for forfeitures as they occur. The net cumulative effect of this change was recognized as a $0.2 million reduction to retained earnings as of January 1, 2017 with a corresponding increase in additional paid in capital.</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5"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simplifies the subsequent measurement of goodwill, through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70"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clarifies the definition of a business with the objective of adding guidance to assist entities with evaluating whether transactions should be accounted for as acquisitions (or disposals) of assets or businesses. The update is effective for annual reporting periods beginning after December 15, 2017 and interim periods within those fiscal years. Early adoption is permitted for financial statements that have not been previously issued. The guidance requires application on a prospective basis. The Company does not expect that this pronouncement will have a significant impact on its financial statements.</w:t>
      </w:r>
    </w:p>
    <w:p>
      <w:pPr>
        <w:spacing w:after="0" w:line="68" w:lineRule="exact"/>
        <w:rPr>
          <w:sz w:val="20"/>
          <w:szCs w:val="20"/>
          <w:color w:val="auto"/>
        </w:rPr>
      </w:pPr>
    </w:p>
    <w:p>
      <w:pPr>
        <w:ind w:left="40" w:right="200" w:firstLine="268"/>
        <w:spacing w:after="0" w:line="272"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modifies existing guidance and is intended to reduce the diversity in</w:t>
      </w:r>
    </w:p>
    <w:p>
      <w:pPr>
        <w:spacing w:after="0" w:line="200" w:lineRule="exact"/>
        <w:rPr>
          <w:sz w:val="20"/>
          <w:szCs w:val="20"/>
          <w:color w:val="auto"/>
        </w:rPr>
      </w:pPr>
    </w:p>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spacing w:after="0" w:line="254" w:lineRule="auto"/>
        <w:rPr>
          <w:sz w:val="20"/>
          <w:szCs w:val="20"/>
          <w:color w:val="auto"/>
        </w:rPr>
      </w:pPr>
      <w:r>
        <w:rPr>
          <w:rFonts w:ascii="Arial" w:cs="Arial" w:eastAsia="Arial" w:hAnsi="Arial"/>
          <w:sz w:val="18"/>
          <w:szCs w:val="18"/>
          <w:color w:val="auto"/>
        </w:rPr>
        <w:t>practice with respect to the accounting for income tax consequences of intra-entity transfers of assets. This update requires entities to immediately recognize the tax consequences on intercompany asset transfers (excluding inventory) at the transaction date, and eliminates the recognition exception within current guidance. The update is effective for annual reporting periods beginning after December 15, 2017 and interim periods within those fiscal years. Early adoption is permitted. The guidance requires application using a modified retrospective approach. The Company is evaluating the impact this pronouncement will have on its financial statements.</w:t>
      </w:r>
    </w:p>
    <w:p>
      <w:pPr>
        <w:spacing w:after="0" w:line="85" w:lineRule="exact"/>
        <w:rPr>
          <w:sz w:val="20"/>
          <w:szCs w:val="20"/>
          <w:color w:val="auto"/>
        </w:rPr>
      </w:pPr>
    </w:p>
    <w:p>
      <w:pPr>
        <w:ind w:left="40" w:right="40" w:firstLine="268"/>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which is intended to reduce diversity in practice in how eight specific transactions are classified in the statement of cash flows. The update is effective for annual reporting periods beginning after December 15, 2017 and interim periods within those fiscal years. Early adoption is permitted, provided that all of the amendments are adopted in the same period. The guidance requires application using a retrospective approach. The Company is evaluating the impact this update will have on its financial statements.</w:t>
      </w:r>
    </w:p>
    <w:p>
      <w:pPr>
        <w:spacing w:after="0" w:line="85"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under this pronouncement will change the way all leases with durations in excess of one year or more are treated. Under this guidance, lessees will be required to recognize virtually all leases on the balance sheet as a right-of-use asset and an associated financing lease liability or capital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financing leases or operating leases. Financing lease liabilities, which contain provisions similar to capitalized leases, are amortized like capital leases under current accounting, as amortization expense and interest expense in the statement of operations. Operating lease liabilities are amortized on a straight-line basis over the life of the lease as lease expense in the statement of operations. This update is effective for annual reporting periods, and interim periods within those reporting periods, beginning after December 15, 2018. While the Company continues to evaluate the impact this pronouncement, and all amendments relating to this pronouncement, will have on its policies and procedures pertaining to its existing and future lease arrangements, disclosure requirements and on the Company’s financial statements, the Company expects most existing operating lease commitments, that extend beyond twelve months at the time of adoption, will be recognized as lease liabilities and right-of-use assets upon adoption.</w:t>
      </w:r>
    </w:p>
    <w:p>
      <w:pPr>
        <w:spacing w:after="0" w:line="73"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amendments under this pronouncement will change how an entity recognizes revenue from contracts it enters to transfer goods, services or nonfinancial assets to its customers. These changes created a comprehensive framework for all entities in all industries to apply in the determination of when to recognize revenue, and, therefore, supersede virtually all existing revenue recognition requirements and guidance. This framework is expected to result in less complex guidance in application while providing a consistent and comparable methodology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Step 1: Identify the contract(s) with the customer; Step 2: Identify the performance obligations in the contract; Step 3: Determine the transaction price; Step 4: Allocate the transaction price to the performance obligations in the contract; Step 5: Recognize revenue when, or as, the entity satisfies the performance obligations. In addition, the amendments require expanded disclosure to enable the users of the financial statements to understand the nature, timing and uncertainty of revenue and cash flow arising from contracts with customers On August 16, 2015, the FASB</w:t>
      </w:r>
    </w:p>
    <w:p>
      <w:pPr>
        <w:spacing w:after="0" w:line="200" w:lineRule="exact"/>
        <w:rPr>
          <w:sz w:val="20"/>
          <w:szCs w:val="20"/>
          <w:color w:val="auto"/>
        </w:rPr>
      </w:pPr>
    </w:p>
    <w:p>
      <w:pPr>
        <w:spacing w:after="0" w:line="33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Business and Significant Accounting Policies – (continued)</w:t>
      </w:r>
    </w:p>
    <w:p>
      <w:pPr>
        <w:spacing w:after="0" w:line="119" w:lineRule="exact"/>
        <w:rPr>
          <w:sz w:val="20"/>
          <w:szCs w:val="20"/>
          <w:color w:val="auto"/>
        </w:rPr>
      </w:pPr>
    </w:p>
    <w:p>
      <w:pPr>
        <w:ind w:left="40" w:right="60"/>
        <w:spacing w:after="0" w:line="272" w:lineRule="auto"/>
        <w:rPr>
          <w:sz w:val="20"/>
          <w:szCs w:val="20"/>
          <w:color w:val="auto"/>
        </w:rPr>
      </w:pPr>
      <w:r>
        <w:rPr>
          <w:rFonts w:ascii="Arial" w:cs="Arial" w:eastAsia="Arial" w:hAnsi="Arial"/>
          <w:sz w:val="18"/>
          <w:szCs w:val="18"/>
          <w:color w:val="auto"/>
        </w:rPr>
        <w:t>deferred the effective date by one year to December 15, 2017 for annual reporting periods beginning after that date, permitting early adoption of the standard, but not before the original effective date of December 15, 2016.</w:t>
      </w:r>
    </w:p>
    <w:p>
      <w:pPr>
        <w:spacing w:after="0" w:line="67" w:lineRule="exact"/>
        <w:rPr>
          <w:sz w:val="20"/>
          <w:szCs w:val="20"/>
          <w:color w:val="auto"/>
        </w:rPr>
      </w:pPr>
    </w:p>
    <w:p>
      <w:pPr>
        <w:ind w:left="40" w:right="40" w:firstLine="268"/>
        <w:spacing w:after="0" w:line="291" w:lineRule="auto"/>
        <w:rPr>
          <w:sz w:val="20"/>
          <w:szCs w:val="20"/>
          <w:color w:val="auto"/>
        </w:rPr>
      </w:pPr>
      <w:r>
        <w:rPr>
          <w:rFonts w:ascii="Arial" w:cs="Arial" w:eastAsia="Arial" w:hAnsi="Arial"/>
          <w:sz w:val="16"/>
          <w:szCs w:val="16"/>
          <w:color w:val="auto"/>
        </w:rPr>
        <w:t>When this pronouncement is adopted in 2018, the Company will adopt the amendments under this ASU using the modified retrospective transition approach. Under the modified retrospective transition approach, the Company will recognize changes from the beginning of the year of initial application through retained earnings with no restatement of comparative periods. The Company does not expect this update to materially affect the results of the Company’s operations, financial position or cash flows. This conclusion is based on the Company’s continued recognition of revenues from long-term service contracts over time as services are performed and the underlying obligation to the customer is fulfilled. The Company has identified and is in the final stages of implementing changes to its processes and internal controls to meet the reporting and disclosure requirements of this update.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Acquisitions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Western Pacific Enterprises Ltd.</w:t>
      </w:r>
    </w:p>
    <w:p>
      <w:pPr>
        <w:spacing w:after="0" w:line="115" w:lineRule="exact"/>
        <w:rPr>
          <w:sz w:val="20"/>
          <w:szCs w:val="20"/>
          <w:color w:val="auto"/>
        </w:rPr>
      </w:pPr>
    </w:p>
    <w:p>
      <w:pPr>
        <w:ind w:left="40" w:firstLine="268"/>
        <w:spacing w:after="0" w:line="287" w:lineRule="auto"/>
        <w:rPr>
          <w:sz w:val="20"/>
          <w:szCs w:val="20"/>
          <w:color w:val="auto"/>
        </w:rPr>
      </w:pPr>
      <w:r>
        <w:rPr>
          <w:rFonts w:ascii="Arial" w:cs="Arial" w:eastAsia="Arial" w:hAnsi="Arial"/>
          <w:sz w:val="16"/>
          <w:szCs w:val="16"/>
          <w:color w:val="auto"/>
        </w:rPr>
        <w:t>On October 28, 2016, the Company completed the acquisition of substantially all of the assets of Western Pacific Enterprises GP and of Western Pacific Enterprises Ltd., except for certain real estate owned by Western Pacific Enterprises Ltd., with the company continuing operations under the name Western Pacific Enterprises Ltd. (“WPE”), an electrical contracting firm in western Canada. With its main headquarters in Coquitlam, British Columbia, WPE provides a wide range of commercial and industrial electrical construction capabilities under the Company’s C&amp;I segment. WPE also provides substation construction capabilities under the Company’s T&amp;D segment. The total consideration paid was approximately $12.1 million, which was funded through borrowings from our line of credit. Total consideration paid included $2.2 million subject to potential net asset adjustments. These net asset adjustments were approximately $0.8 million as of the October 28, 2016 closing date and as of December 31, 2017. The Company accounted for the net asset adjustments as a reduction to consideration paid which was funded through the return of funds held in a $1.9 million escrow account, established at the time of purchase.</w:t>
      </w:r>
    </w:p>
    <w:p>
      <w:pPr>
        <w:spacing w:after="0" w:line="64" w:lineRule="exact"/>
        <w:rPr>
          <w:sz w:val="20"/>
          <w:szCs w:val="20"/>
          <w:color w:val="auto"/>
        </w:rPr>
      </w:pPr>
    </w:p>
    <w:p>
      <w:pPr>
        <w:ind w:left="40" w:right="220" w:firstLine="268"/>
        <w:spacing w:after="0" w:line="253" w:lineRule="auto"/>
        <w:rPr>
          <w:sz w:val="20"/>
          <w:szCs w:val="20"/>
          <w:color w:val="auto"/>
        </w:rPr>
      </w:pPr>
      <w:r>
        <w:rPr>
          <w:rFonts w:ascii="Arial" w:cs="Arial" w:eastAsia="Arial" w:hAnsi="Arial"/>
          <w:sz w:val="18"/>
          <w:szCs w:val="18"/>
          <w:color w:val="auto"/>
        </w:rPr>
        <w:t>The purchase agreement also includes provisions for margin guarantee adjustments based upon performance subsequent to the acquisition on certain contracts. In early 2018, the Company finalized an agreement to settle all amounts outstanding under the margin guarantee adjustment provision as well as previous contingent compensation agreements that were being recognized as compensation expense in the consolidated statement of operations as incurred. As a result, the Company recorded other expense of $2.3 million for the year ended December 31, 2017 and reversed the compensation expense that was previously recorded. The Company had previously recognized other income of $1.4 million relating to the margin guarantee adjustments provision for the year ended December 31, 2016.</w:t>
      </w:r>
    </w:p>
    <w:p>
      <w:pPr>
        <w:spacing w:after="0" w:line="86"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color w:val="auto"/>
        </w:rPr>
        <w:t>The results of operations for WPE are included in the Company’s consolidated statement of operations and the C&amp;I segment from the date of acquisition. Costs of approximately $0.4 million related to the acquisition were included in selling, general and administrative expenses in the consolidated statement of operations for the year ended December 31, 2016. The Company has finalized the purchase price accounting relating to the WPE acquisition. The purchase price was allocated to net identifiable assets with $0.5 million allocated to identifiable intangibles (tradename, net backlog and customer relationships) and the remaining $0.2 million allocated to goodwill. A portion of the goodwill is expected to be tax deductible per applicable Canada Revenue Agency regulations.</w:t>
      </w:r>
    </w:p>
    <w:p>
      <w:pPr>
        <w:spacing w:after="0" w:line="200" w:lineRule="exact"/>
        <w:rPr>
          <w:sz w:val="20"/>
          <w:szCs w:val="20"/>
          <w:color w:val="auto"/>
        </w:rPr>
      </w:pPr>
    </w:p>
    <w:p>
      <w:pPr>
        <w:spacing w:after="0" w:line="29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 – (continued)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allocation of the opening balance sheet from the date of acquisition through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555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55240" cy="825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39370</wp:posOffset>
            </wp:positionV>
            <wp:extent cx="25977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778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Measurement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acquisition</w:t>
            </w:r>
          </w:p>
        </w:tc>
        <w:tc>
          <w:tcPr>
            <w:tcW w:w="0" w:type="dxa"/>
            <w:vAlign w:val="bottom"/>
          </w:tcPr>
          <w:p>
            <w:pPr>
              <w:spacing w:after="0"/>
              <w:rPr>
                <w:sz w:val="1"/>
                <w:szCs w:val="1"/>
                <w:color w:val="auto"/>
              </w:rPr>
            </w:pPr>
          </w:p>
        </w:tc>
      </w:tr>
      <w:tr>
        <w:trPr>
          <w:trHeight w:val="148"/>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acquisition date)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amounts as of)</w:t>
            </w:r>
          </w:p>
        </w:tc>
        <w:tc>
          <w:tcPr>
            <w:tcW w:w="0" w:type="dxa"/>
            <w:vAlign w:val="bottom"/>
          </w:tcPr>
          <w:p>
            <w:pPr>
              <w:spacing w:after="0"/>
              <w:rPr>
                <w:sz w:val="1"/>
                <w:szCs w:val="1"/>
                <w:color w:val="auto"/>
              </w:rPr>
            </w:pPr>
          </w:p>
        </w:tc>
      </w:tr>
      <w:tr>
        <w:trPr>
          <w:trHeight w:val="170"/>
        </w:trPr>
        <w:tc>
          <w:tcPr>
            <w:tcW w:w="66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October 28, 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08"/>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 net of net asset adjustments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20,249</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(10,125)</w:t>
            </w: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0"/>
        </w:trPr>
        <w:tc>
          <w:tcPr>
            <w:tcW w:w="6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00" w:type="dxa"/>
            <w:vAlign w:val="bottom"/>
          </w:tcPr>
          <w:p>
            <w:pPr>
              <w:ind w:left="20"/>
              <w:spacing w:after="0"/>
              <w:rPr>
                <w:sz w:val="20"/>
                <w:szCs w:val="20"/>
                <w:color w:val="auto"/>
              </w:rPr>
            </w:pPr>
            <w:r>
              <w:rPr>
                <w:rFonts w:ascii="Arial" w:cs="Arial" w:eastAsia="Arial" w:hAnsi="Arial"/>
                <w:sz w:val="18"/>
                <w:szCs w:val="18"/>
                <w:color w:val="auto"/>
              </w:rPr>
              <w:t>Net identifiable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11,083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intangible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026275" cy="153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High Country Line Construction, Inc.</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November 24, 2015, the Company acquired all of the outstanding common stock of High Country Line Construction, Inc. (“HCL”). The acquisition of</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7"/>
          <w:szCs w:val="17"/>
          <w:color w:val="auto"/>
        </w:rPr>
        <w:t>HCL expanded the Company’s T&amp;D construction services, predominantly in the western United States. The acquisition date fair value of consideration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transferred, funded through existing cash resources, was $1.7 million, net of cash acquired. The purchase price was allocated to net identifiable assets with</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auto"/>
        </w:rPr>
        <w:t>$0.3 million allocated to identifiable intangibles (backlog and customer relationships) and the remaining $0.2 million allocated to goodwill. The Company has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finalized the purchase price accounting relating to the HCL acquisition. Costs of approximately $0.2 million related to the acquisition were included in selling,</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general and administrative expenses in the December 31, 2015 consolidated statement of operations.</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E.S. Boulos Company</w:t>
      </w:r>
    </w:p>
    <w:p>
      <w:pPr>
        <w:spacing w:after="0" w:line="115" w:lineRule="exact"/>
        <w:rPr>
          <w:sz w:val="20"/>
          <w:szCs w:val="20"/>
          <w:color w:val="auto"/>
        </w:rPr>
      </w:pPr>
    </w:p>
    <w:p>
      <w:pPr>
        <w:ind w:left="60" w:firstLine="268"/>
        <w:spacing w:after="0" w:line="254" w:lineRule="auto"/>
        <w:rPr>
          <w:sz w:val="20"/>
          <w:szCs w:val="20"/>
          <w:color w:val="auto"/>
        </w:rPr>
      </w:pPr>
      <w:r>
        <w:rPr>
          <w:rFonts w:ascii="Arial" w:cs="Arial" w:eastAsia="Arial" w:hAnsi="Arial"/>
          <w:sz w:val="18"/>
          <w:szCs w:val="18"/>
          <w:color w:val="auto"/>
        </w:rPr>
        <w:t>On April 13, 2015, the Company acquired substantially all of the assets of E.S. Boulos Company (“ESB”). The total consideration paid was approximately $11.4 million, which was funded through existing cash resources of the Company. Headquartered in Westbrook, Maine, ESB offers construction capabilities under the Company’s T&amp;D segment, including substation, transmission and distribution construction. ESB also provides commercial and industrial electrical construction under its C&amp;I segment, including a wide range of commercial electrical construction services. The Company has finalized the purchase price accounting relating to the ESB acquisition.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Fair Value Measurements</w:t>
      </w:r>
    </w:p>
    <w:p>
      <w:pPr>
        <w:spacing w:after="0" w:line="119" w:lineRule="exact"/>
        <w:rPr>
          <w:sz w:val="20"/>
          <w:szCs w:val="20"/>
          <w:color w:val="auto"/>
        </w:rPr>
      </w:pPr>
    </w:p>
    <w:p>
      <w:pPr>
        <w:jc w:val="both"/>
        <w:ind w:left="60" w:firstLine="268"/>
        <w:spacing w:after="0" w:line="276" w:lineRule="auto"/>
        <w:rPr>
          <w:sz w:val="20"/>
          <w:szCs w:val="20"/>
          <w:color w:val="auto"/>
        </w:rPr>
      </w:pPr>
      <w:r>
        <w:rPr>
          <w:rFonts w:ascii="Arial" w:cs="Arial" w:eastAsia="Arial" w:hAnsi="Arial"/>
          <w:sz w:val="17"/>
          <w:szCs w:val="17"/>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71" w:name="page72"/>
    <w:bookmarkEnd w:id="7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Fair Value Measurements – (continued)</w:t>
      </w:r>
    </w:p>
    <w:p>
      <w:pPr>
        <w:spacing w:after="0" w:line="119" w:lineRule="exact"/>
        <w:rPr>
          <w:sz w:val="20"/>
          <w:szCs w:val="20"/>
          <w:color w:val="auto"/>
        </w:rPr>
      </w:pPr>
    </w:p>
    <w:p>
      <w:pPr>
        <w:ind w:left="180" w:firstLine="268"/>
        <w:spacing w:after="0" w:line="273" w:lineRule="auto"/>
        <w:rPr>
          <w:sz w:val="20"/>
          <w:szCs w:val="20"/>
          <w:color w:val="auto"/>
        </w:rPr>
      </w:pPr>
      <w:r>
        <w:rPr>
          <w:rFonts w:ascii="Arial" w:cs="Arial" w:eastAsia="Arial" w:hAnsi="Arial"/>
          <w:sz w:val="17"/>
          <w:szCs w:val="17"/>
          <w:color w:val="auto"/>
        </w:rPr>
        <w:t>As of December 31, 2017 and 2016, the Company determined that the carrying value of cash and cash equivalents approximated fair value based on Level 1 inputs. As of December 31, 2017 and 2016, the fair value of the Company’s long-term debt and capital lease obligations, were based on Level 2 inputs. The Company’s long-term debt was based on variable and fixed interest rates at December 31, 2017 and 2016, for new issues with similar remaining maturities and approximated carrying value. In addition, based on borrowing rates currently available to the Company for borrowings with similar terms, the carrying values of the Company’s capital lease obligations also approximated fair value.</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4. Accounts Receivable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32194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19450"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39370</wp:posOffset>
            </wp:positionV>
            <wp:extent cx="1592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receivables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231,808</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200,732</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8"/>
                <w:szCs w:val="18"/>
                <w:color w:val="auto"/>
              </w:rPr>
              <w:t>Contract retainages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42,732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32,486</w:t>
            </w:r>
          </w:p>
        </w:tc>
        <w:tc>
          <w:tcPr>
            <w:tcW w:w="160" w:type="dxa"/>
            <w:vAlign w:val="bottom"/>
          </w:tcPr>
          <w:p>
            <w:pPr>
              <w:spacing w:after="0"/>
              <w:rPr>
                <w:sz w:val="18"/>
                <w:szCs w:val="18"/>
                <w:color w:val="auto"/>
              </w:rPr>
            </w:pPr>
          </w:p>
        </w:tc>
      </w:tr>
      <w:tr>
        <w:trPr>
          <w:trHeight w:val="21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208"/>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283,613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235,074</w:t>
            </w:r>
          </w:p>
        </w:tc>
        <w:tc>
          <w:tcPr>
            <w:tcW w:w="160" w:type="dxa"/>
            <w:vAlign w:val="bottom"/>
          </w:tcPr>
          <w:p>
            <w:pPr>
              <w:spacing w:after="0"/>
              <w:rPr>
                <w:sz w:val="18"/>
                <w:szCs w:val="18"/>
                <w:color w:val="auto"/>
              </w:rPr>
            </w:pPr>
          </w:p>
        </w:tc>
      </w:tr>
      <w:tr>
        <w:trPr>
          <w:trHeight w:val="21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160" w:type="dxa"/>
            <w:vAlign w:val="bottom"/>
            <w:tcBorders>
              <w:left w:val="single" w:sz="8" w:color="CCEEFF"/>
            </w:tcBorders>
            <w:shd w:val="clear" w:color="auto" w:fill="CCEEFF"/>
          </w:tcPr>
          <w:p>
            <w:pPr>
              <w:spacing w:after="0"/>
              <w:rPr>
                <w:sz w:val="18"/>
                <w:szCs w:val="18"/>
                <w:color w:val="auto"/>
              </w:rPr>
            </w:pPr>
          </w:p>
        </w:tc>
      </w:tr>
      <w:tr>
        <w:trPr>
          <w:trHeight w:val="208"/>
        </w:trPr>
        <w:tc>
          <w:tcPr>
            <w:tcW w:w="7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3"/>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283,008</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234,642</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
        </w:trPr>
        <w:tc>
          <w:tcPr>
            <w:tcW w:w="7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4"/>
        </w:trPr>
        <w:tc>
          <w:tcPr>
            <w:tcW w:w="8700" w:type="dxa"/>
            <w:vAlign w:val="bottom"/>
            <w:gridSpan w:val="10"/>
          </w:tcPr>
          <w:p>
            <w:pPr>
              <w:ind w:left="340"/>
              <w:spacing w:after="0"/>
              <w:rPr>
                <w:sz w:val="20"/>
                <w:szCs w:val="20"/>
                <w:color w:val="auto"/>
              </w:rPr>
            </w:pPr>
            <w:r>
              <w:rPr>
                <w:rFonts w:ascii="Arial" w:cs="Arial" w:eastAsia="Arial" w:hAnsi="Arial"/>
                <w:sz w:val="18"/>
                <w:szCs w:val="18"/>
                <w:color w:val="auto"/>
                <w:w w:val="91"/>
              </w:rPr>
              <w:t>The roll-forward of activity in the allowance for doubtful accounts was as follows for the years ended December 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5"/>
        </w:trPr>
        <w:tc>
          <w:tcPr>
            <w:tcW w:w="7220" w:type="dxa"/>
            <w:vAlign w:val="bottom"/>
          </w:tcPr>
          <w:p>
            <w:pPr>
              <w:ind w:left="200"/>
              <w:spacing w:after="0"/>
              <w:rPr>
                <w:sz w:val="20"/>
                <w:szCs w:val="20"/>
                <w:color w:val="auto"/>
              </w:rPr>
            </w:pPr>
            <w:r>
              <w:rPr>
                <w:rFonts w:ascii="Arial" w:cs="Arial" w:eastAsia="Arial" w:hAnsi="Arial"/>
                <w:sz w:val="18"/>
                <w:szCs w:val="18"/>
                <w:color w:val="auto"/>
              </w:rPr>
              <w:t>Less: Reduction in (provision for) allowances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r>
      <w:tr>
        <w:trPr>
          <w:trHeight w:val="215"/>
        </w:trPr>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Write offs, net of recoveries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5"/>
        </w:trPr>
        <w:tc>
          <w:tcPr>
            <w:tcW w:w="7220" w:type="dxa"/>
            <w:vAlign w:val="bottom"/>
          </w:tcPr>
          <w:p>
            <w:pPr>
              <w:ind w:left="200"/>
              <w:spacing w:after="0"/>
              <w:rPr>
                <w:sz w:val="20"/>
                <w:szCs w:val="20"/>
                <w:color w:val="auto"/>
              </w:rPr>
            </w:pPr>
            <w:r>
              <w:rPr>
                <w:rFonts w:ascii="Arial" w:cs="Arial" w:eastAsia="Arial" w:hAnsi="Arial"/>
                <w:sz w:val="18"/>
                <w:szCs w:val="18"/>
                <w:color w:val="auto"/>
              </w:rPr>
              <w:t>Change in foreign currency translation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Borders>
              <w:left w:val="single" w:sz="8" w:color="CCEEFF"/>
            </w:tcBorders>
            <w:shd w:val="clear" w:color="auto" w:fill="CCEEFF"/>
          </w:tcPr>
          <w:p>
            <w:pPr>
              <w:spacing w:after="0"/>
              <w:rPr>
                <w:sz w:val="21"/>
                <w:szCs w:val="21"/>
                <w:color w:val="auto"/>
              </w:rPr>
            </w:pPr>
          </w:p>
        </w:tc>
      </w:tr>
      <w:tr>
        <w:trPr>
          <w:trHeight w:val="354"/>
        </w:trPr>
        <w:tc>
          <w:tcPr>
            <w:tcW w:w="7220" w:type="dxa"/>
            <w:vAlign w:val="bottom"/>
            <w:tcBorders>
              <w:top w:val="single" w:sz="8" w:color="CCEEFF"/>
            </w:tcBorders>
          </w:tcPr>
          <w:p>
            <w:pPr>
              <w:ind w:left="60"/>
              <w:spacing w:after="0"/>
              <w:rPr>
                <w:sz w:val="20"/>
                <w:szCs w:val="20"/>
                <w:color w:val="auto"/>
              </w:rPr>
            </w:pPr>
            <w:r>
              <w:rPr>
                <w:rFonts w:ascii="Arial" w:cs="Arial" w:eastAsia="Arial" w:hAnsi="Arial"/>
                <w:sz w:val="18"/>
                <w:szCs w:val="18"/>
                <w:b w:val="1"/>
                <w:bCs w:val="1"/>
                <w:color w:val="auto"/>
              </w:rPr>
              <w:t>5. Contracts in Process</w:t>
            </w: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322"/>
        </w:trPr>
        <w:tc>
          <w:tcPr>
            <w:tcW w:w="7220" w:type="dxa"/>
            <w:vAlign w:val="bottom"/>
          </w:tcPr>
          <w:p>
            <w:pPr>
              <w:ind w:left="340"/>
              <w:spacing w:after="0"/>
              <w:rPr>
                <w:sz w:val="20"/>
                <w:szCs w:val="20"/>
                <w:color w:val="auto"/>
              </w:rPr>
            </w:pPr>
            <w:r>
              <w:rPr>
                <w:rFonts w:ascii="Arial" w:cs="Arial" w:eastAsia="Arial" w:hAnsi="Arial"/>
                <w:sz w:val="18"/>
                <w:szCs w:val="18"/>
                <w:color w:val="auto"/>
                <w:w w:val="96"/>
              </w:rPr>
              <w:t>The net asset position for contracts in process consisted of the following at December 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0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on uncompleted contracts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1,978,981</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2,194,695</w:t>
            </w:r>
          </w:p>
        </w:tc>
      </w:tr>
      <w:tr>
        <w:trPr>
          <w:trHeight w:val="215"/>
        </w:trPr>
        <w:tc>
          <w:tcPr>
            <w:tcW w:w="7220" w:type="dxa"/>
            <w:vAlign w:val="bottom"/>
          </w:tcPr>
          <w:p>
            <w:pPr>
              <w:ind w:left="20"/>
              <w:spacing w:after="0"/>
              <w:rPr>
                <w:sz w:val="20"/>
                <w:szCs w:val="20"/>
                <w:color w:val="auto"/>
              </w:rPr>
            </w:pPr>
            <w:r>
              <w:rPr>
                <w:rFonts w:ascii="Arial" w:cs="Arial" w:eastAsia="Arial" w:hAnsi="Arial"/>
                <w:sz w:val="18"/>
                <w:szCs w:val="18"/>
                <w:color w:val="auto"/>
              </w:rPr>
              <w:t>Less: Billings to date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5"/>
          </w:tcPr>
          <w:p>
            <w:pPr>
              <w:jc w:val="right"/>
              <w:ind w:right="80"/>
              <w:spacing w:after="0"/>
              <w:rPr>
                <w:sz w:val="20"/>
                <w:szCs w:val="20"/>
                <w:color w:val="auto"/>
              </w:rPr>
            </w:pPr>
            <w:r>
              <w:rPr>
                <w:rFonts w:ascii="Arial" w:cs="Arial" w:eastAsia="Arial" w:hAnsi="Arial"/>
                <w:sz w:val="18"/>
                <w:szCs w:val="18"/>
                <w:color w:val="auto"/>
              </w:rPr>
              <w:t>1,929,640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2,167,066</w:t>
            </w: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228"/>
        </w:trPr>
        <w:tc>
          <w:tcPr>
            <w:tcW w:w="7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tcBorders>
              <w:right w:val="single" w:sz="8" w:color="CCEEFF"/>
            </w:tcBorders>
            <w:gridSpan w:val="3"/>
            <w:shd w:val="clear" w:color="auto" w:fill="CCEEFF"/>
          </w:tcPr>
          <w:p>
            <w:pPr>
              <w:spacing w:after="0"/>
              <w:rPr>
                <w:sz w:val="19"/>
                <w:szCs w:val="19"/>
                <w:color w:val="auto"/>
              </w:rPr>
            </w:pPr>
          </w:p>
        </w:tc>
        <w:tc>
          <w:tcPr>
            <w:tcW w:w="1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49,341</w:t>
            </w: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27,629</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-2750185</wp:posOffset>
            </wp:positionV>
            <wp:extent cx="7026275" cy="144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-2468880</wp:posOffset>
            </wp:positionV>
            <wp:extent cx="7026275" cy="1790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-1157605</wp:posOffset>
            </wp:positionV>
            <wp:extent cx="7026275"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-33655</wp:posOffset>
            </wp:positionV>
            <wp:extent cx="7026275"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-2060575</wp:posOffset>
            </wp:positionV>
            <wp:extent cx="28448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-2060575</wp:posOffset>
            </wp:positionV>
            <wp:extent cx="2077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7772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-663575</wp:posOffset>
            </wp:positionV>
            <wp:extent cx="32194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1945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-663575</wp:posOffset>
            </wp:positionV>
            <wp:extent cx="1609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asset position for contracts in process is included in the accompanying consolidated balance sheets as follows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32194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19450"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39370</wp:posOffset>
            </wp:positionV>
            <wp:extent cx="15582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08"/>
        </w:trPr>
        <w:tc>
          <w:tcPr>
            <w:tcW w:w="1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Costs and estimated earnings in excess of billings on uncompleted contracts</w:t>
            </w:r>
          </w:p>
        </w:tc>
        <w:tc>
          <w:tcPr>
            <w:tcW w:w="302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78,260</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69,950</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w w:val="89"/>
              </w:rPr>
              <w:t>Billings in excess of costs and estimated earnings on uncompleted contracts</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(28,919)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(42,321)</w:t>
            </w:r>
          </w:p>
        </w:tc>
        <w:tc>
          <w:tcPr>
            <w:tcW w:w="2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5480" w:type="dxa"/>
            <w:vAlign w:val="bottom"/>
            <w:shd w:val="clear" w:color="auto" w:fill="CCEEFF"/>
          </w:tcPr>
          <w:p>
            <w:pPr>
              <w:spacing w:after="0"/>
              <w:rPr>
                <w:sz w:val="21"/>
                <w:szCs w:val="21"/>
                <w:color w:val="auto"/>
              </w:rPr>
            </w:pPr>
          </w:p>
        </w:tc>
        <w:tc>
          <w:tcPr>
            <w:tcW w:w="2720" w:type="dxa"/>
            <w:vAlign w:val="bottom"/>
            <w:gridSpan w:val="2"/>
            <w:shd w:val="clear" w:color="auto" w:fill="CCEEFF"/>
          </w:tcPr>
          <w:p>
            <w:pPr>
              <w:spacing w:after="0"/>
              <w:rPr>
                <w:sz w:val="21"/>
                <w:szCs w:val="21"/>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49,341</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27,629</w:t>
            </w:r>
          </w:p>
        </w:tc>
        <w:tc>
          <w:tcPr>
            <w:tcW w:w="240" w:type="dxa"/>
            <w:vAlign w:val="bottom"/>
          </w:tcPr>
          <w:p>
            <w:pPr>
              <w:spacing w:after="0"/>
              <w:rPr>
                <w:sz w:val="21"/>
                <w:szCs w:val="21"/>
                <w:color w:val="auto"/>
              </w:rPr>
            </w:pPr>
          </w:p>
        </w:tc>
      </w:tr>
      <w:tr>
        <w:trPr>
          <w:trHeight w:val="756"/>
        </w:trPr>
        <w:tc>
          <w:tcPr>
            <w:tcW w:w="120" w:type="dxa"/>
            <w:vAlign w:val="bottom"/>
          </w:tcPr>
          <w:p>
            <w:pPr>
              <w:spacing w:after="0"/>
              <w:rPr>
                <w:sz w:val="24"/>
                <w:szCs w:val="24"/>
                <w:color w:val="auto"/>
              </w:rPr>
            </w:pPr>
          </w:p>
        </w:tc>
        <w:tc>
          <w:tcPr>
            <w:tcW w:w="548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jc w:val="right"/>
              <w:ind w:right="2271"/>
              <w:spacing w:after="0"/>
              <w:rPr>
                <w:sz w:val="20"/>
                <w:szCs w:val="20"/>
                <w:color w:val="auto"/>
              </w:rPr>
            </w:pPr>
            <w:r>
              <w:rPr>
                <w:rFonts w:ascii="Arial" w:cs="Arial" w:eastAsia="Arial" w:hAnsi="Arial"/>
                <w:sz w:val="18"/>
                <w:szCs w:val="18"/>
                <w:color w:val="auto"/>
                <w:w w:val="89"/>
              </w:rPr>
              <w:t>68</w:t>
            </w:r>
          </w:p>
        </w:tc>
        <w:tc>
          <w:tcPr>
            <w:tcW w:w="1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5480" w:type="dxa"/>
            <w:vAlign w:val="bottom"/>
            <w:tcBorders>
              <w:bottom w:val="single" w:sz="8" w:color="9A9A9A"/>
            </w:tcBorders>
          </w:tcPr>
          <w:p>
            <w:pPr>
              <w:spacing w:after="0"/>
              <w:rPr>
                <w:sz w:val="14"/>
                <w:szCs w:val="14"/>
                <w:color w:val="auto"/>
              </w:rPr>
            </w:pPr>
          </w:p>
        </w:tc>
        <w:tc>
          <w:tcPr>
            <w:tcW w:w="25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480" w:type="dxa"/>
            <w:vAlign w:val="bottom"/>
            <w:tcBorders>
              <w:bottom w:val="single" w:sz="8" w:color="EEEEEE"/>
            </w:tcBorders>
          </w:tcPr>
          <w:p>
            <w:pPr>
              <w:spacing w:after="0" w:line="20" w:lineRule="exact"/>
              <w:rPr>
                <w:sz w:val="1"/>
                <w:szCs w:val="1"/>
                <w:color w:val="auto"/>
              </w:rPr>
            </w:pPr>
          </w:p>
        </w:tc>
        <w:tc>
          <w:tcPr>
            <w:tcW w:w="2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-655320</wp:posOffset>
            </wp:positionV>
            <wp:extent cx="7026275"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500"/>
          </w:cols>
          <w:pgMar w:left="240" w:top="787" w:right="159" w:bottom="1440" w:gutter="0" w:footer="0" w:header="0"/>
        </w:sectPr>
      </w:pPr>
    </w:p>
    <w:bookmarkStart w:id="72" w:name="page73"/>
    <w:bookmarkEnd w:id="7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Property and Equipment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060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39370</wp:posOffset>
            </wp:positionV>
            <wp:extent cx="24612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7,733</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 to 39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22,718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equipment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to 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340,060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329,299</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 to 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8,964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379,475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364,357</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(231,391)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(209,466)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148,084</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154,891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60" w:right="460" w:firstLine="268"/>
        <w:spacing w:after="0" w:line="272" w:lineRule="auto"/>
        <w:rPr>
          <w:sz w:val="20"/>
          <w:szCs w:val="20"/>
          <w:color w:val="auto"/>
        </w:rPr>
      </w:pPr>
      <w:r>
        <w:rPr>
          <w:rFonts w:ascii="Arial" w:cs="Arial" w:eastAsia="Arial" w:hAnsi="Arial"/>
          <w:sz w:val="18"/>
          <w:szCs w:val="18"/>
          <w:color w:val="auto"/>
        </w:rPr>
        <w:t>Construction equipment includes assets under capital leases — see additional information provided in Note 12 — Lease Obligations to the Financial Statements.</w:t>
      </w:r>
    </w:p>
    <w:p>
      <w:pPr>
        <w:spacing w:after="0" w:line="67" w:lineRule="exact"/>
        <w:rPr>
          <w:sz w:val="20"/>
          <w:szCs w:val="20"/>
          <w:color w:val="auto"/>
        </w:rPr>
      </w:pPr>
    </w:p>
    <w:p>
      <w:pPr>
        <w:ind w:left="60" w:right="500" w:firstLine="268"/>
        <w:spacing w:after="0" w:line="272" w:lineRule="auto"/>
        <w:rPr>
          <w:sz w:val="20"/>
          <w:szCs w:val="20"/>
          <w:color w:val="auto"/>
        </w:rPr>
      </w:pPr>
      <w:r>
        <w:rPr>
          <w:rFonts w:ascii="Arial" w:cs="Arial" w:eastAsia="Arial" w:hAnsi="Arial"/>
          <w:sz w:val="18"/>
          <w:szCs w:val="18"/>
          <w:color w:val="auto"/>
        </w:rPr>
        <w:t>Depreciation and amortization expense of property and equipment for the years ended December 31, 2017, 2016 and 2015 was $38.1 million, $38.2 million and $37.5 million, respectively.</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Goodwill and Intangible Assets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and intangible assets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69322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3229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9"/>
              </w:rPr>
              <w:t>Net Carrying</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Gross Carrying</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2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0"/>
        </w:trPr>
        <w:tc>
          <w:tcPr>
            <w:tcW w:w="2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8"/>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40,224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40,224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40,224</w:t>
            </w:r>
          </w:p>
        </w:tc>
        <w:tc>
          <w:tcPr>
            <w:tcW w:w="0" w:type="dxa"/>
            <w:vAlign w:val="bottom"/>
          </w:tcPr>
          <w:p>
            <w:pPr>
              <w:spacing w:after="0"/>
              <w:rPr>
                <w:sz w:val="1"/>
                <w:szCs w:val="1"/>
                <w:color w:val="auto"/>
              </w:rPr>
            </w:pPr>
          </w:p>
        </w:tc>
      </w:tr>
      <w:tr>
        <w:trPr>
          <w:trHeight w:val="215"/>
        </w:trPr>
        <w:tc>
          <w:tcPr>
            <w:tcW w:w="2700" w:type="dxa"/>
            <w:vAlign w:val="bottom"/>
            <w:gridSpan w:val="2"/>
          </w:tcPr>
          <w:p>
            <w:pPr>
              <w:ind w:left="200"/>
              <w:spacing w:after="0"/>
              <w:rPr>
                <w:sz w:val="20"/>
                <w:szCs w:val="20"/>
                <w:color w:val="auto"/>
              </w:rPr>
            </w:pPr>
            <w:r>
              <w:rPr>
                <w:rFonts w:ascii="Arial" w:cs="Arial" w:eastAsia="Arial" w:hAnsi="Arial"/>
                <w:sz w:val="18"/>
                <w:szCs w:val="18"/>
                <w:color w:val="auto"/>
              </w:rPr>
              <w:t>C&amp;I</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46,994</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46,781</w:t>
            </w:r>
          </w:p>
        </w:tc>
        <w:tc>
          <w:tcPr>
            <w:tcW w:w="0" w:type="dxa"/>
            <w:vAlign w:val="bottom"/>
          </w:tcPr>
          <w:p>
            <w:pPr>
              <w:spacing w:after="0"/>
              <w:rPr>
                <w:sz w:val="1"/>
                <w:szCs w:val="1"/>
                <w:color w:val="auto"/>
              </w:rPr>
            </w:pPr>
          </w:p>
        </w:tc>
      </w:tr>
      <w:tr>
        <w:trPr>
          <w:trHeight w:val="208"/>
        </w:trPr>
        <w:tc>
          <w:tcPr>
            <w:tcW w:w="27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Backlog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00" w:type="dxa"/>
            <w:vAlign w:val="bottom"/>
            <w:gridSpan w:val="2"/>
          </w:tcPr>
          <w:p>
            <w:pPr>
              <w:ind w:left="20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5"/>
        </w:trPr>
        <w:tc>
          <w:tcPr>
            <w:tcW w:w="2700" w:type="dxa"/>
            <w:vAlign w:val="bottom"/>
            <w:gridSpan w:val="2"/>
          </w:tcPr>
          <w:p>
            <w:pPr>
              <w:ind w:left="200"/>
              <w:spacing w:after="0"/>
              <w:rPr>
                <w:sz w:val="20"/>
                <w:szCs w:val="20"/>
                <w:color w:val="auto"/>
              </w:rPr>
            </w:pPr>
            <w:r>
              <w:rPr>
                <w:rFonts w:ascii="Arial" w:cs="Arial" w:eastAsia="Arial" w:hAnsi="Arial"/>
                <w:sz w:val="18"/>
                <w:szCs w:val="18"/>
                <w:color w:val="auto"/>
              </w:rPr>
              <w:t>Unallocated intangible assets</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Indefinite-lived Intangible 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00" w:type="dxa"/>
            <w:vAlign w:val="bottom"/>
            <w:gridSpan w:val="2"/>
          </w:tcPr>
          <w:p>
            <w:pPr>
              <w:ind w:left="200"/>
              <w:spacing w:after="0"/>
              <w:rPr>
                <w:sz w:val="20"/>
                <w:szCs w:val="20"/>
                <w:color w:val="auto"/>
              </w:rPr>
            </w:pPr>
            <w:r>
              <w:rPr>
                <w:rFonts w:ascii="Arial" w:cs="Arial" w:eastAsia="Arial" w:hAnsi="Arial"/>
                <w:sz w:val="18"/>
                <w:szCs w:val="18"/>
                <w:color w:val="auto"/>
              </w:rPr>
              <w:t>Trade names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16,035</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-1165860</wp:posOffset>
            </wp:positionV>
            <wp:extent cx="1711960" cy="170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1960" cy="17018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-1165860</wp:posOffset>
            </wp:positionV>
            <wp:extent cx="1790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-1140460</wp:posOffset>
            </wp:positionV>
            <wp:extent cx="1790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-1165860</wp:posOffset>
            </wp:positionV>
            <wp:extent cx="204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-1140460</wp:posOffset>
            </wp:positionV>
            <wp:extent cx="204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-1165860</wp:posOffset>
            </wp:positionV>
            <wp:extent cx="170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-1140460</wp:posOffset>
            </wp:positionV>
            <wp:extent cx="170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-1165860</wp:posOffset>
            </wp:positionV>
            <wp:extent cx="1790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-1140460</wp:posOffset>
            </wp:positionV>
            <wp:extent cx="1790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-1165860</wp:posOffset>
            </wp:positionV>
            <wp:extent cx="204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-1140460</wp:posOffset>
            </wp:positionV>
            <wp:extent cx="204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6971665</wp:posOffset>
            </wp:positionH>
            <wp:positionV relativeFrom="paragraph">
              <wp:posOffset>-1165860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6971665</wp:posOffset>
            </wp:positionH>
            <wp:positionV relativeFrom="paragraph">
              <wp:posOffset>-1140460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17119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1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17119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196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-33655</wp:posOffset>
            </wp:positionV>
            <wp:extent cx="1790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-7620</wp:posOffset>
            </wp:positionV>
            <wp:extent cx="1790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-33655</wp:posOffset>
            </wp:positionV>
            <wp:extent cx="204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-7620</wp:posOffset>
            </wp:positionV>
            <wp:extent cx="204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-33655</wp:posOffset>
            </wp:positionV>
            <wp:extent cx="170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-7620</wp:posOffset>
            </wp:positionV>
            <wp:extent cx="1701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-33655</wp:posOffset>
            </wp:positionV>
            <wp:extent cx="1790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790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-33655</wp:posOffset>
            </wp:positionV>
            <wp:extent cx="204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-7620</wp:posOffset>
            </wp:positionV>
            <wp:extent cx="204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6971665</wp:posOffset>
            </wp:positionH>
            <wp:positionV relativeFrom="paragraph">
              <wp:posOffset>-33655</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6971665</wp:posOffset>
            </wp:positionH>
            <wp:positionV relativeFrom="paragraph">
              <wp:posOffset>-7620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3" w:lineRule="exact"/>
        <w:rPr>
          <w:sz w:val="20"/>
          <w:szCs w:val="20"/>
          <w:color w:val="auto"/>
        </w:rPr>
      </w:pPr>
    </w:p>
    <w:p>
      <w:pPr>
        <w:ind w:left="60" w:firstLine="268"/>
        <w:spacing w:after="0" w:line="285" w:lineRule="auto"/>
        <w:rPr>
          <w:sz w:val="20"/>
          <w:szCs w:val="20"/>
          <w:color w:val="auto"/>
        </w:rPr>
      </w:pPr>
      <w:r>
        <w:rPr>
          <w:rFonts w:ascii="Arial" w:cs="Arial" w:eastAsia="Arial" w:hAnsi="Arial"/>
          <w:sz w:val="16"/>
          <w:szCs w:val="16"/>
          <w:color w:val="auto"/>
        </w:rPr>
        <w:t>The increase in goodwill and as of December 31, 2017 compared to December 31, 2016 was due to the allocation of $0.2 million of goodwill related to the WPE acquisition identified during the finalization of the WPE purchase price accounting. Intangible assets related to the WPE acquisition and are being amortized based on a straight line basis over periods ranging up to 12.5 years. Additional financial information related to this acquisition is provided in Note</w:t>
      </w:r>
    </w:p>
    <w:p>
      <w:pPr>
        <w:spacing w:after="0" w:line="1" w:lineRule="exact"/>
        <w:rPr>
          <w:sz w:val="20"/>
          <w:szCs w:val="20"/>
          <w:color w:val="auto"/>
        </w:rPr>
      </w:pPr>
    </w:p>
    <w:p>
      <w:pPr>
        <w:ind w:left="60"/>
        <w:spacing w:after="0" w:line="257" w:lineRule="auto"/>
        <w:rPr>
          <w:sz w:val="20"/>
          <w:szCs w:val="20"/>
          <w:color w:val="auto"/>
        </w:rPr>
      </w:pPr>
      <w:r>
        <w:rPr>
          <w:rFonts w:ascii="Arial" w:cs="Arial" w:eastAsia="Arial" w:hAnsi="Arial"/>
          <w:sz w:val="18"/>
          <w:szCs w:val="18"/>
          <w:color w:val="auto"/>
        </w:rPr>
        <w:t>2 — Acquisitions to the Financial Statements. Immaterial foreign currency translation adjustments related to goodwill and intangible assets are netted with the amounts indicated above.</w:t>
      </w:r>
    </w:p>
    <w:p>
      <w:pPr>
        <w:spacing w:after="0" w:line="80" w:lineRule="exact"/>
        <w:rPr>
          <w:sz w:val="20"/>
          <w:szCs w:val="20"/>
          <w:color w:val="auto"/>
        </w:rPr>
      </w:pPr>
    </w:p>
    <w:p>
      <w:pPr>
        <w:ind w:left="60" w:right="180" w:firstLine="268"/>
        <w:spacing w:after="0" w:line="283" w:lineRule="auto"/>
        <w:rPr>
          <w:sz w:val="20"/>
          <w:szCs w:val="20"/>
          <w:color w:val="auto"/>
        </w:rPr>
      </w:pPr>
      <w:r>
        <w:rPr>
          <w:rFonts w:ascii="Arial" w:cs="Arial" w:eastAsia="Arial" w:hAnsi="Arial"/>
          <w:sz w:val="17"/>
          <w:szCs w:val="17"/>
          <w:color w:val="auto"/>
        </w:rPr>
        <w:t>Customer relationships and backlog are being amortized on a straight-line method over an estimated useful life of approximately 12 years and the remaining life of the contract, respectively, and have been determined to have no residual value. Amortizable trade names are being amortized on a straight-line basis over an estimated useful life of approximately 15 years. Infinite-lived trade names have been determined to</w:t>
      </w:r>
    </w:p>
    <w:p>
      <w:pPr>
        <w:spacing w:after="0" w:line="200" w:lineRule="exact"/>
        <w:rPr>
          <w:sz w:val="20"/>
          <w:szCs w:val="20"/>
          <w:color w:val="auto"/>
        </w:rPr>
      </w:pPr>
    </w:p>
    <w:p>
      <w:pPr>
        <w:spacing w:after="0" w:line="30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73" w:name="page74"/>
    <w:bookmarkEnd w:id="7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Goodwill and Intangible Assets – (continued)</w:t>
      </w:r>
    </w:p>
    <w:p>
      <w:pPr>
        <w:spacing w:after="0" w:line="119" w:lineRule="exact"/>
        <w:rPr>
          <w:sz w:val="20"/>
          <w:szCs w:val="20"/>
          <w:color w:val="auto"/>
        </w:rPr>
      </w:pPr>
    </w:p>
    <w:p>
      <w:pPr>
        <w:ind w:left="60" w:right="220"/>
        <w:spacing w:after="0" w:line="272" w:lineRule="auto"/>
        <w:rPr>
          <w:sz w:val="20"/>
          <w:szCs w:val="20"/>
          <w:color w:val="auto"/>
        </w:rPr>
      </w:pPr>
      <w:r>
        <w:rPr>
          <w:rFonts w:ascii="Arial" w:cs="Arial" w:eastAsia="Arial" w:hAnsi="Arial"/>
          <w:sz w:val="18"/>
          <w:szCs w:val="18"/>
          <w:color w:val="auto"/>
        </w:rPr>
        <w:t>have indefinite lives and, therefore, are not being amortized. Intangible asset amortization expense was $0.5 million for the year ended December 31, 2017, $0.9 million for the year ended December 31, 2016 and $0.6 million for the year ended December 31, 2015.</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2017 estimated future intangible asset amortization expense for the each of the next five years and thereafter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39687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68750" cy="825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46990</wp:posOffset>
            </wp:positionV>
            <wp:extent cx="6134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48"/>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70"/>
        </w:trPr>
        <w:tc>
          <w:tcPr>
            <w:tcW w:w="84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0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8. Accrued Liabilities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480" w:type="dxa"/>
            <w:vAlign w:val="bottom"/>
          </w:tcPr>
          <w:p>
            <w:pPr>
              <w:ind w:left="340"/>
              <w:spacing w:after="0"/>
              <w:rPr>
                <w:sz w:val="20"/>
                <w:szCs w:val="20"/>
                <w:color w:val="auto"/>
              </w:rPr>
            </w:pPr>
            <w:r>
              <w:rPr>
                <w:rFonts w:ascii="Arial" w:cs="Arial" w:eastAsia="Arial" w:hAnsi="Arial"/>
                <w:sz w:val="18"/>
                <w:szCs w:val="18"/>
                <w:color w:val="auto"/>
              </w:rPr>
              <w:t>Other current liabilities consisted of the following at December 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incentive compensation</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16,101</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Union dues and benefits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sharing and thrift plan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0"/>
        </w:trPr>
        <w:tc>
          <w:tcPr>
            <w:tcW w:w="8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42,382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-1072515</wp:posOffset>
            </wp:positionV>
            <wp:extent cx="3449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49320"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-1072515</wp:posOffset>
            </wp:positionV>
            <wp:extent cx="13030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119" w:lineRule="exact"/>
        <w:rPr>
          <w:sz w:val="20"/>
          <w:szCs w:val="20"/>
          <w:color w:val="auto"/>
        </w:rPr>
      </w:pPr>
    </w:p>
    <w:p>
      <w:pPr>
        <w:ind w:left="60" w:firstLine="268"/>
        <w:spacing w:after="0" w:line="285" w:lineRule="auto"/>
        <w:rPr>
          <w:sz w:val="20"/>
          <w:szCs w:val="20"/>
          <w:color w:val="auto"/>
        </w:rPr>
      </w:pPr>
      <w:r>
        <w:rPr>
          <w:rFonts w:ascii="Arial" w:cs="Arial" w:eastAsia="Arial" w:hAnsi="Arial"/>
          <w:sz w:val="16"/>
          <w:szCs w:val="16"/>
          <w:color w:val="auto"/>
        </w:rPr>
        <w:t>On June 30, 2016, the Company entered into a five-year amended and restated credit agreement (the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The Company has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used to refinance existing debt and are expected to be used for working capital, capital expenditures, acquisitions, stock repurchases and other general corporate purposes.</w:t>
      </w:r>
    </w:p>
    <w:p>
      <w:pPr>
        <w:spacing w:after="0" w:line="64" w:lineRule="exact"/>
        <w:rPr>
          <w:sz w:val="20"/>
          <w:szCs w:val="20"/>
          <w:color w:val="auto"/>
        </w:rPr>
      </w:pPr>
    </w:p>
    <w:p>
      <w:pPr>
        <w:ind w:left="60" w:right="140" w:firstLine="268"/>
        <w:spacing w:after="0" w:line="260" w:lineRule="auto"/>
        <w:rPr>
          <w:sz w:val="20"/>
          <w:szCs w:val="20"/>
          <w:color w:val="auto"/>
        </w:rPr>
      </w:pPr>
      <w:r>
        <w:rPr>
          <w:rFonts w:ascii="Arial" w:cs="Arial" w:eastAsia="Arial" w:hAnsi="Arial"/>
          <w:sz w:val="18"/>
          <w:szCs w:val="18"/>
          <w:color w:val="auto"/>
        </w:rPr>
        <w:t>Amounts borrowed under the Credit Agreement bear interest, at the Company’s option, at a rate equal to either (1) the Alternate Base Rate (as defined in the Credit Agreement), plus an applicable margin ranging from 0.00% to 1.00%; or (2) Adjusted LIBO Rate (as defined in the Credit Agreement) plus an applicable</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Debt – (continued)</w:t>
      </w:r>
    </w:p>
    <w:p>
      <w:pPr>
        <w:spacing w:after="0" w:line="119" w:lineRule="exact"/>
        <w:rPr>
          <w:sz w:val="20"/>
          <w:szCs w:val="20"/>
          <w:color w:val="auto"/>
        </w:rPr>
      </w:pPr>
    </w:p>
    <w:p>
      <w:pPr>
        <w:ind w:left="40" w:right="60"/>
        <w:spacing w:after="0" w:line="252" w:lineRule="auto"/>
        <w:rPr>
          <w:sz w:val="20"/>
          <w:szCs w:val="20"/>
          <w:color w:val="auto"/>
        </w:rPr>
      </w:pPr>
      <w:r>
        <w:rPr>
          <w:rFonts w:ascii="Arial" w:cs="Arial" w:eastAsia="Arial" w:hAnsi="Arial"/>
          <w:sz w:val="18"/>
          <w:szCs w:val="18"/>
          <w:color w:val="auto"/>
        </w:rPr>
        <w:t>margin ranging from 1.00% to 2.00%. The applicable margin is determined based on the Company’s consolidated leverage ratio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the Company’s consolidated Leverage Ratio. The Company is subject to a commitment fee of 0.20% to 0.375%, based on the Company’s consolidated Leverage Ratio, on any unused portion of the Facility. The Credit Agreement restricts certain types of payments when the Company’s consolidated Leverage Ratio exceeds 2.25. The weighted average interest rate on borrowings outstanding for the year ended December 31, 2017, was 2.07% per annum.</w:t>
      </w:r>
    </w:p>
    <w:p>
      <w:pPr>
        <w:spacing w:after="0" w:line="88"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shall begin in the quarter in which such permitted acquisition is consummated and shall continue in effect for four consecutive fiscal quarters. The Company was in compliance with all of its covenants under the Credit Agreement as of December 31, 2017.</w:t>
      </w:r>
    </w:p>
    <w:p>
      <w:pPr>
        <w:spacing w:after="0" w:line="88" w:lineRule="exact"/>
        <w:rPr>
          <w:sz w:val="20"/>
          <w:szCs w:val="20"/>
          <w:color w:val="auto"/>
        </w:rPr>
      </w:pPr>
    </w:p>
    <w:p>
      <w:pPr>
        <w:ind w:left="40" w:right="440" w:firstLine="268"/>
        <w:spacing w:after="0" w:line="302" w:lineRule="auto"/>
        <w:rPr>
          <w:sz w:val="20"/>
          <w:szCs w:val="20"/>
          <w:color w:val="auto"/>
        </w:rPr>
      </w:pPr>
      <w:r>
        <w:rPr>
          <w:rFonts w:ascii="Arial" w:cs="Arial" w:eastAsia="Arial" w:hAnsi="Arial"/>
          <w:sz w:val="17"/>
          <w:szCs w:val="17"/>
          <w:color w:val="auto"/>
        </w:rPr>
        <w:t>Prior to the amendment and restatement of the Credit Agreement, the Company had a five-year syndicated credit agreement with a facility of $175.0 million that provided funds for revolving loans and the issuance of letters of credit and up to $25.0 million for swingline loans.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amount outstanding on the Facility was $79.0 million and $59.1 million as of December 31, 2017 and 2016, respectively.</w:t>
      </w:r>
    </w:p>
    <w:p>
      <w:pPr>
        <w:spacing w:after="0" w:line="115" w:lineRule="exact"/>
        <w:rPr>
          <w:sz w:val="20"/>
          <w:szCs w:val="20"/>
          <w:color w:val="auto"/>
        </w:rPr>
      </w:pPr>
    </w:p>
    <w:p>
      <w:pPr>
        <w:ind w:left="40" w:right="60" w:firstLine="268"/>
        <w:spacing w:after="0" w:line="254" w:lineRule="auto"/>
        <w:rPr>
          <w:sz w:val="20"/>
          <w:szCs w:val="20"/>
          <w:color w:val="auto"/>
        </w:rPr>
      </w:pPr>
      <w:r>
        <w:rPr>
          <w:rFonts w:ascii="Arial" w:cs="Arial" w:eastAsia="Arial" w:hAnsi="Arial"/>
          <w:sz w:val="18"/>
          <w:szCs w:val="18"/>
          <w:color w:val="auto"/>
        </w:rPr>
        <w:t>As of December 31, 2017, the Company had irrevocable standby letters of credit outstanding under the Facility of approximately $20.9 million, including $17.6 million related to the Company’s payment obligation under its insurance programs and approximately $3.3 million related to contract performance obligations. As of December 31, 2016, the Company had irrevocable standby letters of credit outstanding under the Facility of approximately $23.7 million, including $17.6 million related to the Company’s payment obligation under its insurance programs and approximately $6.1 million related to contract performance obligations.</w:t>
      </w:r>
    </w:p>
    <w:p>
      <w:pPr>
        <w:spacing w:after="0" w:line="85" w:lineRule="exact"/>
        <w:rPr>
          <w:sz w:val="20"/>
          <w:szCs w:val="20"/>
          <w:color w:val="auto"/>
        </w:rPr>
      </w:pPr>
    </w:p>
    <w:p>
      <w:pPr>
        <w:ind w:left="40" w:right="300" w:firstLine="268"/>
        <w:spacing w:after="0" w:line="260" w:lineRule="auto"/>
        <w:rPr>
          <w:sz w:val="20"/>
          <w:szCs w:val="20"/>
          <w:color w:val="auto"/>
        </w:rPr>
      </w:pPr>
      <w:r>
        <w:rPr>
          <w:rFonts w:ascii="Arial" w:cs="Arial" w:eastAsia="Arial" w:hAnsi="Arial"/>
          <w:sz w:val="18"/>
          <w:szCs w:val="18"/>
          <w:color w:val="auto"/>
        </w:rPr>
        <w:t>The Company has remaining deferred debt issuance costs totaling $0.8 million as of December 31, 2017, related to entry into the line of credit. As permitted under ASU No. 2015-15, debt issuance costs have been deferred and are presented as an asset within other assets, which is amortized as interest expense over the term of the line of credit.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Income Taxes</w:t>
      </w:r>
    </w:p>
    <w:p>
      <w:pPr>
        <w:spacing w:after="0" w:line="119"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The United States Tax Cuts and Jobs Act (the “Tax Act”) which was signed into law December 22, 2017, made significant changes to the Internal Revenue Code. The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The Company calculated our best estimate of the impact of the Tax Act in our year end income tax provision in accordance with its understanding of the Tax Act and guidance available as of the date of this filing and, as a result, have recorded a net benefit of $7.8 million within income tax expense. This benefit was primarily due to revaluing the Company’s net deferred tax liabilities to reflect the recently enacted 21% federal corporate tax rate effective January 1, 2018.</w:t>
      </w:r>
    </w:p>
    <w:p>
      <w:pPr>
        <w:spacing w:after="0" w:line="200" w:lineRule="exact"/>
        <w:rPr>
          <w:sz w:val="20"/>
          <w:szCs w:val="20"/>
          <w:color w:val="auto"/>
        </w:rPr>
      </w:pPr>
    </w:p>
    <w:p>
      <w:pPr>
        <w:spacing w:after="0" w:line="3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5" w:name="page76"/>
    <w:bookmarkEnd w:id="7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10. Income Taxes – (continued)</w:t>
      </w:r>
    </w:p>
    <w:p>
      <w:pPr>
        <w:spacing w:after="0" w:line="119" w:lineRule="exact"/>
        <w:rPr>
          <w:sz w:val="20"/>
          <w:szCs w:val="20"/>
          <w:color w:val="auto"/>
        </w:rPr>
      </w:pPr>
    </w:p>
    <w:p>
      <w:pPr>
        <w:ind w:left="180" w:right="20" w:firstLine="268"/>
        <w:spacing w:after="0" w:line="285" w:lineRule="auto"/>
        <w:rPr>
          <w:sz w:val="20"/>
          <w:szCs w:val="20"/>
          <w:color w:val="auto"/>
        </w:rPr>
      </w:pPr>
      <w:r>
        <w:rPr>
          <w:rFonts w:ascii="Arial" w:cs="Arial" w:eastAsia="Arial" w:hAnsi="Arial"/>
          <w:sz w:val="16"/>
          <w:szCs w:val="16"/>
          <w:color w:val="auto"/>
        </w:rPr>
        <w:t>In addition, on December 22, 2017, the SEC staff issued SEC Staff Accounting Bulletin 118 (“SAB 118”) to address the accounting implications of the Tax Act. SAB 118 permits a company to recognize provisional amounts for the one-time tax effects of the Tax Act upon enactment when it does not have the necessary information available, prepared or analyzed (including computations) in reasonable detail to complete its accounting for the change in tax law. The measurement period to finalize these calculations cannot extend beyond one year of the enactment date. Key provisions that have a significant impact on the Financial Statements and where the Company has recognized estimated amounts include the remeasurement of certain net deferred tax assets and liabilities and recognition of liabilities for taxes on mandatory one-time deemed repatriation of accumulated earnings of foreign subsidiaries. These estimates are based on the Company’s initial analysis of the Tax Act and likely will be adjusted in future periods as required. The completion of the Company’s 2017 tax return filings could all impact these estimates. The Company will utilize implementation guidance from the Internal Revenue Service and clarifications of state tax law, as well as information from other authoritative sources, to understand the significant complexity of the Tax Act. The Company does not believe any potential adjustments in future periods would materially impact the Company’s financial condition or results of operations. The Tax Act provisions related to global intangible low taxed income (“GILTI”) could impact the Company’s taxes associated with foreign earnings in the future, however GILTI did not have an impact to the Company’s as of December 31, 2017.</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taxes by geographic area was,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28448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39370</wp:posOffset>
            </wp:positionV>
            <wp:extent cx="4597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974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39370</wp:posOffset>
            </wp:positionV>
            <wp:extent cx="13201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33,830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39,419</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45,456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(9,190)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1"/>
              </w:rPr>
              <w:t>(1,074)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7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24,640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38,345</w:t>
            </w:r>
          </w:p>
        </w:tc>
        <w:tc>
          <w:tcPr>
            <w:tcW w:w="10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44,299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120" w:type="dxa"/>
            <w:vAlign w:val="bottom"/>
          </w:tcPr>
          <w:p>
            <w:pPr>
              <w:spacing w:after="0"/>
              <w:rPr>
                <w:sz w:val="24"/>
                <w:szCs w:val="24"/>
                <w:color w:val="auto"/>
              </w:rPr>
            </w:pPr>
          </w:p>
        </w:tc>
        <w:tc>
          <w:tcPr>
            <w:tcW w:w="71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w w:val="99"/>
              </w:rPr>
              <w:t>The income tax provision consisted of the following for the years ended December 31:</w:t>
            </w: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Federal</w:t>
            </w:r>
          </w:p>
        </w:tc>
        <w:tc>
          <w:tcPr>
            <w:tcW w:w="4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7,020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9,838</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12,433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8,577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12,709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15,439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2,491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(2,763)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4,205</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3,486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16,914</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16,997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40" w:type="dxa"/>
            <w:vAlign w:val="bottom"/>
            <w:vMerge w:val="restart"/>
          </w:tcPr>
          <w:p>
            <w:pPr>
              <w:ind w:left="550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7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7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-2537460</wp:posOffset>
            </wp:positionV>
            <wp:extent cx="7026275"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-1651635</wp:posOffset>
            </wp:positionV>
            <wp:extent cx="7026275" cy="153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-808355</wp:posOffset>
            </wp:positionV>
            <wp:extent cx="7026275" cy="1790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-2273300</wp:posOffset>
            </wp:positionV>
            <wp:extent cx="28448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4480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-2273300</wp:posOffset>
            </wp:positionV>
            <wp:extent cx="4597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974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-2273300</wp:posOffset>
            </wp:positionV>
            <wp:extent cx="13284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76" w:name="page77"/>
    <w:bookmarkEnd w:id="7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Income Taxes – (continued)</w:t>
      </w:r>
    </w:p>
    <w:p>
      <w:pPr>
        <w:spacing w:after="0" w:line="119"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color w:val="auto"/>
        </w:rPr>
        <w:t>The differences between the U.S. federal statutory tax rate and the Company’s effective tax rate for continuing operations were as follows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8873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87345" cy="825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9525</wp:posOffset>
            </wp:positionV>
            <wp:extent cx="23164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208"/>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Deferred balance adjustments due to Tax Act, net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U.S. federal income tax expense</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production/manufacturing deduction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Tax differential on foreign earnings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51"/>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state tax adjustments, net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Non-deductible meals and entertainment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51"/>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excess tax benefits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91"/>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to return adjustments, net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51"/>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Effective rate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9"/>
                <w:szCs w:val="19"/>
                <w:color w:val="auto"/>
              </w:rPr>
            </w:pPr>
          </w:p>
        </w:tc>
      </w:tr>
      <w:tr>
        <w:trPr>
          <w:trHeight w:val="20"/>
        </w:trPr>
        <w:tc>
          <w:tcPr>
            <w:tcW w:w="7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314"/>
        </w:trPr>
        <w:tc>
          <w:tcPr>
            <w:tcW w:w="8400" w:type="dxa"/>
            <w:vAlign w:val="bottom"/>
            <w:gridSpan w:val="5"/>
          </w:tcPr>
          <w:p>
            <w:pPr>
              <w:ind w:left="340"/>
              <w:spacing w:after="0"/>
              <w:rPr>
                <w:sz w:val="20"/>
                <w:szCs w:val="20"/>
                <w:color w:val="auto"/>
              </w:rPr>
            </w:pPr>
            <w:r>
              <w:rPr>
                <w:rFonts w:ascii="Arial" w:cs="Arial" w:eastAsia="Arial" w:hAnsi="Arial"/>
                <w:sz w:val="18"/>
                <w:szCs w:val="18"/>
                <w:color w:val="auto"/>
                <w:w w:val="91"/>
              </w:rPr>
              <w:t>The net deferred tax assets and (liabilities) arising from temporary differences was as follows at December 31: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4"/>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08"/>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5"/>
        </w:trPr>
        <w:tc>
          <w:tcPr>
            <w:tcW w:w="7020" w:type="dxa"/>
            <w:vAlign w:val="bottom"/>
          </w:tcPr>
          <w:p>
            <w:pPr>
              <w:ind w:left="200"/>
              <w:spacing w:after="0"/>
              <w:rPr>
                <w:sz w:val="20"/>
                <w:szCs w:val="20"/>
                <w:color w:val="auto"/>
              </w:rPr>
            </w:pPr>
            <w:r>
              <w:rPr>
                <w:rFonts w:ascii="Arial" w:cs="Arial" w:eastAsia="Arial" w:hAnsi="Arial"/>
                <w:sz w:val="18"/>
                <w:szCs w:val="18"/>
                <w:color w:val="auto"/>
              </w:rPr>
              <w:t>Self insurance reserves</w:t>
            </w:r>
          </w:p>
        </w:tc>
        <w:tc>
          <w:tcPr>
            <w:tcW w:w="138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4,555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6,670</w:t>
            </w: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loss reserves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257</w:t>
            </w:r>
          </w:p>
        </w:tc>
      </w:tr>
      <w:tr>
        <w:trPr>
          <w:trHeight w:val="215"/>
        </w:trPr>
        <w:tc>
          <w:tcPr>
            <w:tcW w:w="7020" w:type="dxa"/>
            <w:vAlign w:val="bottom"/>
          </w:tcPr>
          <w:p>
            <w:pPr>
              <w:ind w:left="200"/>
              <w:spacing w:after="0"/>
              <w:rPr>
                <w:sz w:val="20"/>
                <w:szCs w:val="20"/>
                <w:color w:val="auto"/>
              </w:rPr>
            </w:pPr>
            <w:r>
              <w:rPr>
                <w:rFonts w:ascii="Arial" w:cs="Arial" w:eastAsia="Arial" w:hAnsi="Arial"/>
                <w:sz w:val="18"/>
                <w:szCs w:val="18"/>
                <w:color w:val="auto"/>
              </w:rPr>
              <w:t>Stock-based awards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2,554</w:t>
            </w: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Bonus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590</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2,908</w:t>
            </w:r>
          </w:p>
        </w:tc>
      </w:tr>
      <w:tr>
        <w:trPr>
          <w:trHeight w:val="215"/>
        </w:trPr>
        <w:tc>
          <w:tcPr>
            <w:tcW w:w="7020" w:type="dxa"/>
            <w:vAlign w:val="bottom"/>
          </w:tcPr>
          <w:p>
            <w:pPr>
              <w:ind w:left="200"/>
              <w:spacing w:after="0"/>
              <w:rPr>
                <w:sz w:val="20"/>
                <w:szCs w:val="20"/>
                <w:color w:val="auto"/>
              </w:rPr>
            </w:pPr>
            <w:r>
              <w:rPr>
                <w:rFonts w:ascii="Arial" w:cs="Arial" w:eastAsia="Arial" w:hAnsi="Arial"/>
                <w:sz w:val="18"/>
                <w:szCs w:val="18"/>
                <w:color w:val="auto"/>
              </w:rPr>
              <w:t>Non-U.S. operating loss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595</w:t>
            </w: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Non-U.S. deferred income tax assets, net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773</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5"/>
        </w:trPr>
        <w:tc>
          <w:tcPr>
            <w:tcW w:w="7020" w:type="dxa"/>
            <w:vAlign w:val="bottom"/>
          </w:tcPr>
          <w:p>
            <w:pPr>
              <w:ind w:left="20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1,652</w:t>
            </w:r>
          </w:p>
        </w:tc>
        <w:tc>
          <w:tcPr>
            <w:tcW w:w="240" w:type="dxa"/>
            <w:vAlign w:val="bottom"/>
          </w:tcPr>
          <w:p>
            <w:pPr>
              <w:spacing w:after="0"/>
              <w:rPr>
                <w:sz w:val="18"/>
                <w:szCs w:val="18"/>
                <w:color w:val="auto"/>
              </w:rPr>
            </w:pPr>
          </w:p>
        </w:tc>
      </w:tr>
      <w:tr>
        <w:trPr>
          <w:trHeight w:val="208"/>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 before valuation allowances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11,338</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14,636</w:t>
            </w:r>
          </w:p>
        </w:tc>
      </w:tr>
      <w:tr>
        <w:trPr>
          <w:trHeight w:val="215"/>
        </w:trPr>
        <w:tc>
          <w:tcPr>
            <w:tcW w:w="7020" w:type="dxa"/>
            <w:vAlign w:val="bottom"/>
          </w:tcPr>
          <w:p>
            <w:pPr>
              <w:ind w:left="200"/>
              <w:spacing w:after="0"/>
              <w:rPr>
                <w:sz w:val="20"/>
                <w:szCs w:val="20"/>
                <w:color w:val="auto"/>
              </w:rPr>
            </w:pPr>
            <w:r>
              <w:rPr>
                <w:rFonts w:ascii="Arial" w:cs="Arial" w:eastAsia="Arial" w:hAnsi="Arial"/>
                <w:sz w:val="18"/>
                <w:szCs w:val="18"/>
                <w:color w:val="auto"/>
              </w:rPr>
              <w:t>Less: valuation allowances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(595)</w:t>
            </w:r>
          </w:p>
        </w:tc>
      </w:tr>
      <w:tr>
        <w:trPr>
          <w:trHeight w:val="208"/>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w:t>
            </w: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8"/>
        </w:trPr>
        <w:tc>
          <w:tcPr>
            <w:tcW w:w="70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 tax over book depreciation</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(18,792)</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(26,664)</w:t>
            </w:r>
          </w:p>
        </w:tc>
      </w:tr>
      <w:tr>
        <w:trPr>
          <w:trHeight w:val="215"/>
        </w:trPr>
        <w:tc>
          <w:tcPr>
            <w:tcW w:w="7020" w:type="dxa"/>
            <w:vAlign w:val="bottom"/>
          </w:tcPr>
          <w:p>
            <w:pPr>
              <w:ind w:left="200"/>
              <w:spacing w:after="0"/>
              <w:rPr>
                <w:sz w:val="20"/>
                <w:szCs w:val="20"/>
                <w:color w:val="auto"/>
              </w:rPr>
            </w:pPr>
            <w:r>
              <w:rPr>
                <w:rFonts w:ascii="Arial" w:cs="Arial" w:eastAsia="Arial" w:hAnsi="Arial"/>
                <w:sz w:val="18"/>
                <w:szCs w:val="18"/>
                <w:color w:val="auto"/>
              </w:rPr>
              <w:t>Intangible assets – tax over book amortization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(3,592)</w:t>
            </w: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Non-U.S. deferred income tax liabilities, net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r>
      <w:tr>
        <w:trPr>
          <w:trHeight w:val="215"/>
        </w:trPr>
        <w:tc>
          <w:tcPr>
            <w:tcW w:w="7020" w:type="dxa"/>
            <w:vAlign w:val="bottom"/>
          </w:tcPr>
          <w:p>
            <w:pPr>
              <w:ind w:left="20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(2,259)</w:t>
            </w:r>
          </w:p>
        </w:tc>
      </w:tr>
      <w:tr>
        <w:trPr>
          <w:trHeight w:val="20"/>
        </w:trPr>
        <w:tc>
          <w:tcPr>
            <w:tcW w:w="7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income tax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(22,617)</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(32,606)</w:t>
            </w:r>
          </w:p>
        </w:tc>
      </w:tr>
      <w:tr>
        <w:trPr>
          <w:trHeight w:val="20"/>
        </w:trPr>
        <w:tc>
          <w:tcPr>
            <w:tcW w:w="70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08"/>
        </w:trPr>
        <w:tc>
          <w:tcPr>
            <w:tcW w:w="7020" w:type="dxa"/>
            <w:vAlign w:val="bottom"/>
          </w:tcPr>
          <w:p>
            <w:pPr>
              <w:ind w:left="380"/>
              <w:spacing w:after="0"/>
              <w:rPr>
                <w:sz w:val="20"/>
                <w:szCs w:val="20"/>
                <w:color w:val="auto"/>
              </w:rPr>
            </w:pPr>
            <w:r>
              <w:rPr>
                <w:rFonts w:ascii="Arial" w:cs="Arial" w:eastAsia="Arial" w:hAnsi="Arial"/>
                <w:sz w:val="18"/>
                <w:szCs w:val="18"/>
                <w:color w:val="auto"/>
              </w:rPr>
              <w:t>Net deferred income taxes</w:t>
            </w:r>
          </w:p>
        </w:tc>
        <w:tc>
          <w:tcPr>
            <w:tcW w:w="1220" w:type="dxa"/>
            <w:vAlign w:val="bottom"/>
            <w:gridSpan w:val="3"/>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(13,452)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(18,565)</w:t>
            </w:r>
          </w:p>
        </w:tc>
      </w:tr>
      <w:tr>
        <w:trPr>
          <w:trHeight w:val="20"/>
        </w:trPr>
        <w:tc>
          <w:tcPr>
            <w:tcW w:w="7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-3005455</wp:posOffset>
            </wp:positionV>
            <wp:extent cx="7026275"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-1012825</wp:posOffset>
            </wp:positionV>
            <wp:extent cx="7026275" cy="1447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-2741930</wp:posOffset>
            </wp:positionV>
            <wp:extent cx="32873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8739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-2741930</wp:posOffset>
            </wp:positionV>
            <wp:extent cx="15246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73" w:lineRule="exact"/>
        <w:rPr>
          <w:sz w:val="20"/>
          <w:szCs w:val="20"/>
          <w:color w:val="auto"/>
        </w:rPr>
      </w:pPr>
    </w:p>
    <w:p>
      <w:pPr>
        <w:ind w:left="60" w:right="100" w:firstLine="268"/>
        <w:spacing w:after="0" w:line="272" w:lineRule="auto"/>
        <w:rPr>
          <w:sz w:val="20"/>
          <w:szCs w:val="20"/>
          <w:color w:val="auto"/>
        </w:rPr>
      </w:pPr>
      <w:r>
        <w:rPr>
          <w:rFonts w:ascii="Arial" w:cs="Arial" w:eastAsia="Arial" w:hAnsi="Arial"/>
          <w:sz w:val="18"/>
          <w:szCs w:val="18"/>
          <w:color w:val="auto"/>
        </w:rPr>
        <w:t>The Company determined that it is more-likely-than-not that it will not realize the deferred tax assets on certain Canadian subsidiaries and recorded a valuation allowance against the entire related deferred tax assets.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2017, the Company had no undistributed earnings of our Canadian subsidiaries. We expect future earnings to be reinvested.</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Accordingly, as of December 31, 2017 no provision for U.S. income taxes or foreign withholding taxes has been made.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120"/>
          </w:cols>
          <w:pgMar w:left="360" w:top="787" w:right="419" w:bottom="1440" w:gutter="0" w:footer="0" w:header="0"/>
        </w:sectPr>
      </w:pPr>
    </w:p>
    <w:bookmarkStart w:id="77" w:name="page78"/>
    <w:bookmarkEnd w:id="7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Income Taxes – (continued)</w:t>
      </w:r>
    </w:p>
    <w:p>
      <w:pPr>
        <w:spacing w:after="0" w:line="119" w:lineRule="exact"/>
        <w:rPr>
          <w:sz w:val="20"/>
          <w:szCs w:val="20"/>
          <w:color w:val="auto"/>
        </w:rPr>
      </w:pPr>
    </w:p>
    <w:p>
      <w:pPr>
        <w:ind w:left="60" w:right="360" w:firstLine="268"/>
        <w:spacing w:after="0" w:line="302" w:lineRule="auto"/>
        <w:rPr>
          <w:sz w:val="20"/>
          <w:szCs w:val="20"/>
          <w:color w:val="auto"/>
        </w:rPr>
      </w:pPr>
      <w:r>
        <w:rPr>
          <w:rFonts w:ascii="Arial" w:cs="Arial" w:eastAsia="Arial" w:hAnsi="Arial"/>
          <w:sz w:val="17"/>
          <w:szCs w:val="17"/>
          <w:color w:val="auto"/>
        </w:rPr>
        <w:t>The Company is subject to taxation in various jurisdictions. The Company’s tax returns for 2015 and 2016 are subject to examination by U.S. federal authorities. The Company’s tax returns are subject to examination by various state authorities for the years 2013 through 2016.</w:t>
      </w:r>
    </w:p>
    <w:p>
      <w:pPr>
        <w:spacing w:after="0" w:line="45" w:lineRule="exact"/>
        <w:rPr>
          <w:sz w:val="20"/>
          <w:szCs w:val="20"/>
          <w:color w:val="auto"/>
        </w:rPr>
      </w:pPr>
    </w:p>
    <w:p>
      <w:pPr>
        <w:ind w:left="60" w:right="80" w:firstLine="268"/>
        <w:spacing w:after="0" w:line="253" w:lineRule="auto"/>
        <w:rPr>
          <w:sz w:val="20"/>
          <w:szCs w:val="20"/>
          <w:color w:val="auto"/>
        </w:rPr>
      </w:pPr>
      <w:r>
        <w:rPr>
          <w:rFonts w:ascii="Arial" w:cs="Arial" w:eastAsia="Arial" w:hAnsi="Arial"/>
          <w:sz w:val="18"/>
          <w:szCs w:val="18"/>
          <w:color w:val="auto"/>
        </w:rPr>
        <w:t>The Company has recorded a liability for unrecognized tax benefits related to tax positions taken on its various income tax returns. If recognized, the entire amount of unrecognized tax benefits would favorably impact the effective tax rate that is reported in future periods. The increase in the unrecognized tax benefits as of December 31, 2017 was primarily due to the reserve for state tax expense deducted on the federal tax returns for the 2011 through 2016 tax years. The total unrecognized tax benefits is expected to be reduced by less than $0.1 million within the next 12 months due to the lapses in the applicable statutes of limitations. Interest and penalties related to uncertain income tax positions are included as a component of income tax expense in the Financial Statements.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beginning and ending liability for unrecognized tax benefits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5598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59810" cy="8255"/>
                    </a:xfrm>
                    <a:prstGeom prst="rect">
                      <a:avLst/>
                    </a:prstGeom>
                    <a:noFill/>
                  </pic:spPr>
                </pic:pic>
              </a:graphicData>
            </a:graphic>
          </wp:anchor>
        </w:drawing>
        <w:drawing>
          <wp:anchor simplePos="0" relativeHeight="251657728" behindDoc="1" locked="0" layoutInCell="0" allowOverlap="1">
            <wp:simplePos x="0" y="0"/>
            <wp:positionH relativeFrom="column">
              <wp:posOffset>5659755</wp:posOffset>
            </wp:positionH>
            <wp:positionV relativeFrom="paragraph">
              <wp:posOffset>39370</wp:posOffset>
            </wp:positionV>
            <wp:extent cx="11499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r>
      <w:tr>
        <w:trPr>
          <w:trHeight w:val="208"/>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r>
      <w:tr>
        <w:trPr>
          <w:trHeight w:val="215"/>
        </w:trPr>
        <w:tc>
          <w:tcPr>
            <w:tcW w:w="8760" w:type="dxa"/>
            <w:vAlign w:val="bottom"/>
          </w:tcPr>
          <w:p>
            <w:pPr>
              <w:ind w:left="20"/>
              <w:spacing w:after="0"/>
              <w:rPr>
                <w:sz w:val="20"/>
                <w:szCs w:val="20"/>
                <w:color w:val="auto"/>
              </w:rPr>
            </w:pPr>
            <w:r>
              <w:rPr>
                <w:rFonts w:ascii="Arial" w:cs="Arial" w:eastAsia="Arial" w:hAnsi="Arial"/>
                <w:sz w:val="18"/>
                <w:szCs w:val="18"/>
                <w:color w:val="auto"/>
              </w:rPr>
              <w:t>Gross increases in current period tax positions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r>
      <w:tr>
        <w:trPr>
          <w:trHeight w:val="215"/>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in prior period tax positions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5"/>
        </w:trPr>
        <w:tc>
          <w:tcPr>
            <w:tcW w:w="8760" w:type="dxa"/>
            <w:vAlign w:val="bottom"/>
          </w:tcPr>
          <w:p>
            <w:pPr>
              <w:ind w:left="2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r>
      <w:tr>
        <w:trPr>
          <w:trHeight w:val="215"/>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with taxing authorities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r>
      <w:tr>
        <w:trPr>
          <w:trHeight w:val="20"/>
        </w:trPr>
        <w:tc>
          <w:tcPr>
            <w:tcW w:w="8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08"/>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r>
      <w:tr>
        <w:trPr>
          <w:trHeight w:val="215"/>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and penalties at end of period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r>
      <w:tr>
        <w:trPr>
          <w:trHeight w:val="20"/>
        </w:trPr>
        <w:tc>
          <w:tcPr>
            <w:tcW w:w="8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08"/>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Total liability for unrecognized tax benefits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r>
      <w:tr>
        <w:trPr>
          <w:trHeight w:val="20"/>
        </w:trPr>
        <w:tc>
          <w:tcPr>
            <w:tcW w:w="8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026275" cy="1447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right="20" w:firstLine="268"/>
        <w:spacing w:after="0" w:line="260" w:lineRule="auto"/>
        <w:rPr>
          <w:sz w:val="20"/>
          <w:szCs w:val="20"/>
          <w:color w:val="auto"/>
        </w:rPr>
      </w:pPr>
      <w:r>
        <w:rPr>
          <w:rFonts w:ascii="Arial" w:cs="Arial" w:eastAsia="Arial" w:hAnsi="Arial"/>
          <w:sz w:val="18"/>
          <w:szCs w:val="18"/>
          <w:color w:val="auto"/>
        </w:rPr>
        <w:t>The liability for unrecognized tax benefits, including accrued interest and penalties, was included in other liabilities in the accompanying consolidated balance sheets. The amount of interest and penalties charged or credited to income tax expense as a result of the unrecognized tax benefits was not significant in the years ended December 31, 2017, 2016 and 2015.</w:t>
      </w:r>
    </w:p>
    <w:p>
      <w:pPr>
        <w:spacing w:after="0" w:line="78" w:lineRule="exact"/>
        <w:rPr>
          <w:sz w:val="20"/>
          <w:szCs w:val="20"/>
          <w:color w:val="auto"/>
        </w:rPr>
      </w:pPr>
    </w:p>
    <w:p>
      <w:pPr>
        <w:jc w:val="both"/>
        <w:ind w:left="60" w:right="140" w:firstLine="268"/>
        <w:spacing w:after="0" w:line="260" w:lineRule="auto"/>
        <w:rPr>
          <w:sz w:val="20"/>
          <w:szCs w:val="20"/>
          <w:color w:val="auto"/>
        </w:rPr>
      </w:pPr>
      <w:r>
        <w:rPr>
          <w:rFonts w:ascii="Arial" w:cs="Arial" w:eastAsia="Arial" w:hAnsi="Arial"/>
          <w:sz w:val="18"/>
          <w:szCs w:val="18"/>
          <w:color w:val="auto"/>
        </w:rPr>
        <w:t xml:space="preserve">The Company adopted ASU No.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on January 1, 2017. See Note 1 — Organization, Business and Significant Accounting Policies to the Financial Statements for further information regarding ASU No.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718)</w:t>
      </w:r>
      <w:r>
        <w:rPr>
          <w:rFonts w:ascii="Arial" w:cs="Arial" w:eastAsia="Arial" w:hAnsi="Arial"/>
          <w:sz w:val="18"/>
          <w:szCs w:val="18"/>
          <w:color w:val="auto"/>
        </w:rPr>
        <w: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5" w:lineRule="exact"/>
        <w:rPr>
          <w:sz w:val="20"/>
          <w:szCs w:val="20"/>
          <w:color w:val="auto"/>
        </w:rPr>
      </w:pPr>
    </w:p>
    <w:p>
      <w:pPr>
        <w:ind w:left="60" w:right="240" w:firstLine="268"/>
        <w:spacing w:after="0" w:line="272" w:lineRule="auto"/>
        <w:rPr>
          <w:sz w:val="20"/>
          <w:szCs w:val="20"/>
          <w:color w:val="auto"/>
        </w:rPr>
      </w:pPr>
      <w:r>
        <w:rPr>
          <w:rFonts w:ascii="Arial" w:cs="Arial" w:eastAsia="Arial" w:hAnsi="Arial"/>
          <w:sz w:val="18"/>
          <w:szCs w:val="18"/>
          <w:color w:val="auto"/>
        </w:rPr>
        <w:t>As of December 31, 2017, the Company had approximately $12.3 million in outstanding purchase orders for certain construction equipment, with cash outlay scheduled to occur over the next nine months.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115" w:lineRule="exact"/>
        <w:rPr>
          <w:sz w:val="20"/>
          <w:szCs w:val="20"/>
          <w:color w:val="auto"/>
        </w:rPr>
      </w:pPr>
    </w:p>
    <w:p>
      <w:pPr>
        <w:ind w:left="60" w:firstLine="268"/>
        <w:spacing w:after="0" w:line="298" w:lineRule="auto"/>
        <w:rPr>
          <w:sz w:val="20"/>
          <w:szCs w:val="20"/>
          <w:color w:val="auto"/>
        </w:rPr>
      </w:pPr>
      <w:r>
        <w:rPr>
          <w:rFonts w:ascii="Arial" w:cs="Arial" w:eastAsia="Arial" w:hAnsi="Arial"/>
          <w:sz w:val="16"/>
          <w:szCs w:val="16"/>
          <w:color w:val="auto"/>
        </w:rPr>
        <w:t>The Company carries insurance policies, which are subject to certain deductibles, for workers’ compensation, general liability, automobile liability and other coverages.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60" w:top="787" w:right="179" w:bottom="1440" w:gutter="0" w:footer="0" w:header="0"/>
        </w:sectPr>
      </w:pPr>
    </w:p>
    <w:bookmarkStart w:id="78" w:name="page79"/>
    <w:bookmarkEnd w:id="7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 – (continued)</w:t>
      </w:r>
    </w:p>
    <w:p>
      <w:pPr>
        <w:spacing w:after="0" w:line="119" w:lineRule="exact"/>
        <w:rPr>
          <w:sz w:val="20"/>
          <w:szCs w:val="20"/>
          <w:color w:val="auto"/>
        </w:rPr>
      </w:pPr>
    </w:p>
    <w:p>
      <w:pPr>
        <w:jc w:val="both"/>
        <w:ind w:left="60" w:right="120" w:firstLine="268"/>
        <w:spacing w:after="0" w:line="260"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in the consolidated balance sheets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7762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76220" cy="82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16510</wp:posOffset>
            </wp:positionV>
            <wp:extent cx="4851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5140"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16510</wp:posOffset>
            </wp:positionV>
            <wp:extent cx="13881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42,584</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36,967</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39,480</w:t>
            </w:r>
          </w:p>
        </w:tc>
      </w:tr>
      <w:tr>
        <w:trPr>
          <w:trHeight w:val="215"/>
        </w:trPr>
        <w:tc>
          <w:tcPr>
            <w:tcW w:w="6940" w:type="dxa"/>
            <w:vAlign w:val="bottom"/>
          </w:tcPr>
          <w:p>
            <w:pPr>
              <w:ind w:left="20"/>
              <w:spacing w:after="0"/>
              <w:rPr>
                <w:sz w:val="20"/>
                <w:szCs w:val="20"/>
                <w:color w:val="auto"/>
              </w:rPr>
            </w:pPr>
            <w:r>
              <w:rPr>
                <w:rFonts w:ascii="Arial" w:cs="Arial" w:eastAsia="Arial" w:hAnsi="Arial"/>
                <w:sz w:val="18"/>
                <w:szCs w:val="18"/>
                <w:color w:val="auto"/>
              </w:rPr>
              <w:t>Net increases in reserves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25,139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15,686</w:t>
            </w:r>
          </w:p>
        </w:tc>
      </w:tr>
      <w:tr>
        <w:trPr>
          <w:trHeight w:val="21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payments made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(18,199)</w:t>
            </w:r>
          </w:p>
        </w:tc>
      </w:tr>
      <w:tr>
        <w:trPr>
          <w:trHeight w:val="20"/>
        </w:trPr>
        <w:tc>
          <w:tcPr>
            <w:tcW w:w="6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08"/>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45,363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42,584</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36,967</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60" w:right="80" w:firstLine="268"/>
        <w:spacing w:after="0" w:line="272" w:lineRule="auto"/>
        <w:rPr>
          <w:sz w:val="20"/>
          <w:szCs w:val="20"/>
          <w:color w:val="auto"/>
        </w:rPr>
      </w:pPr>
      <w:r>
        <w:rPr>
          <w:rFonts w:ascii="Arial" w:cs="Arial" w:eastAsia="Arial" w:hAnsi="Arial"/>
          <w:sz w:val="18"/>
          <w:szCs w:val="18"/>
          <w:color w:val="auto"/>
        </w:rPr>
        <w:t>Insurance expense, including premiums, for workers’ compensation, general liability, automobile liability, employee health benefits, and other coverages for the years ended December 31, 2017, 2016 and 2015 was $29.5 million, $25.6 million and $23.6 million, respectively.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115" w:lineRule="exact"/>
        <w:rPr>
          <w:sz w:val="20"/>
          <w:szCs w:val="20"/>
          <w:color w:val="auto"/>
        </w:rPr>
      </w:pPr>
    </w:p>
    <w:p>
      <w:pPr>
        <w:ind w:left="60" w:firstLine="268"/>
        <w:spacing w:after="0" w:line="256" w:lineRule="auto"/>
        <w:rPr>
          <w:sz w:val="20"/>
          <w:szCs w:val="20"/>
          <w:color w:val="auto"/>
        </w:rPr>
      </w:pPr>
      <w:r>
        <w:rPr>
          <w:rFonts w:ascii="Arial" w:cs="Arial" w:eastAsia="Arial" w:hAnsi="Arial"/>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December 31, 2017, an aggregate of approximately $497.0 million in original face amount of bonds issued by the Company’s sureties were outstanding. Our estimated remaining cost to complete these bonded projects was approximately $144.5 million as of December 31, 2017.</w:t>
      </w:r>
    </w:p>
    <w:p>
      <w:pPr>
        <w:spacing w:after="0" w:line="83" w:lineRule="exact"/>
        <w:rPr>
          <w:sz w:val="20"/>
          <w:szCs w:val="20"/>
          <w:color w:val="auto"/>
        </w:rPr>
      </w:pPr>
    </w:p>
    <w:p>
      <w:pPr>
        <w:ind w:left="60" w:right="100" w:firstLine="268"/>
        <w:spacing w:after="0" w:line="308" w:lineRule="auto"/>
        <w:rPr>
          <w:sz w:val="20"/>
          <w:szCs w:val="20"/>
          <w:color w:val="auto"/>
        </w:rPr>
      </w:pPr>
      <w:r>
        <w:rPr>
          <w:rFonts w:ascii="Arial" w:cs="Arial" w:eastAsia="Arial" w:hAnsi="Arial"/>
          <w:sz w:val="16"/>
          <w:szCs w:val="16"/>
          <w:color w:val="auto"/>
        </w:rPr>
        <w:t>From time to time the Company guarantees the obligations of wholly owned subsidiaries, including obligations under certain contracts with customers, certain lease agreements, and obligations in connection with obtaining contractors’ licenses. Additionally, from time to time the Company is required to post letters of credit to guarantee the obligations of its wholly owned subsidiaries, which reduces the borrowing availability under our Facility.</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Indemnities</w:t>
      </w:r>
    </w:p>
    <w:p>
      <w:pPr>
        <w:spacing w:after="0" w:line="115" w:lineRule="exact"/>
        <w:rPr>
          <w:sz w:val="20"/>
          <w:szCs w:val="20"/>
          <w:color w:val="auto"/>
        </w:rPr>
      </w:pPr>
    </w:p>
    <w:p>
      <w:pPr>
        <w:jc w:val="both"/>
        <w:ind w:left="60" w:right="60" w:firstLine="268"/>
        <w:spacing w:after="0" w:line="283"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15" w:lineRule="exact"/>
        <w:rPr>
          <w:sz w:val="20"/>
          <w:szCs w:val="20"/>
          <w:color w:val="auto"/>
        </w:rPr>
      </w:pPr>
    </w:p>
    <w:p>
      <w:pPr>
        <w:ind w:left="60" w:right="60" w:firstLine="268"/>
        <w:spacing w:after="0" w:line="291"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14 — Employee Benefit Plans to the Financial Statements for further information related to the Company’s participation in multi-employer plans.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115" w:lineRule="exact"/>
        <w:rPr>
          <w:sz w:val="20"/>
          <w:szCs w:val="20"/>
          <w:color w:val="auto"/>
        </w:rPr>
      </w:pPr>
    </w:p>
    <w:p>
      <w:pPr>
        <w:ind w:left="60" w:right="100" w:firstLine="268"/>
        <w:spacing w:after="0" w:line="260"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w:t>
      </w:r>
    </w:p>
    <w:p>
      <w:pPr>
        <w:spacing w:after="0" w:line="200" w:lineRule="exact"/>
        <w:rPr>
          <w:sz w:val="20"/>
          <w:szCs w:val="20"/>
          <w:color w:val="auto"/>
        </w:rPr>
      </w:pPr>
    </w:p>
    <w:p>
      <w:pPr>
        <w:spacing w:after="0" w:line="3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60" w:top="787" w:right="17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Commitments and Contingencies – (continued)</w:t>
      </w:r>
    </w:p>
    <w:p>
      <w:pPr>
        <w:spacing w:after="0" w:line="119" w:lineRule="exact"/>
        <w:rPr>
          <w:sz w:val="20"/>
          <w:szCs w:val="20"/>
          <w:color w:val="auto"/>
        </w:rPr>
      </w:pPr>
    </w:p>
    <w:p>
      <w:pPr>
        <w:ind w:left="40" w:right="100"/>
        <w:spacing w:after="0" w:line="308" w:lineRule="auto"/>
        <w:rPr>
          <w:sz w:val="20"/>
          <w:szCs w:val="20"/>
          <w:color w:val="auto"/>
        </w:rPr>
      </w:pPr>
      <w:r>
        <w:rPr>
          <w:rFonts w:ascii="Arial" w:cs="Arial" w:eastAsia="Arial" w:hAnsi="Arial"/>
          <w:sz w:val="16"/>
          <w:szCs w:val="16"/>
          <w:color w:val="auto"/>
        </w:rPr>
        <w:t>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 or cash flows.</w:t>
      </w:r>
    </w:p>
    <w:p>
      <w:pPr>
        <w:spacing w:after="0" w:line="43"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present business as well as in respect of our divested businesses. Some of these claims and litigations include claims related to the Company’s current services and operations, and asbestos-related claims concerning historic operations of a predecessor affiliate. The Company believes that it has strong defenses to these claims as well as insurance coverages that could contribute to any settlement or liability in the event any asbestos-related claim is not resolved in the Company’s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Lease Obligations</w:t>
      </w:r>
    </w:p>
    <w:p>
      <w:pPr>
        <w:spacing w:after="0" w:line="119"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From time to time, the Company enters into leasing arrangements for real estate, vehicles and construction equipment. In 2017, the Company entered into master leasing arrangements for vehicles and construction equipment. Some of the leases entered into under these agreements met the requirements for capitalizations and were recorded as capital leases, while others were treated as operating leases. As of December 31, 2017, the Company had no outstanding commitments to enter into future leases under its master lease agreements.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Leases</w:t>
      </w:r>
    </w:p>
    <w:p>
      <w:pPr>
        <w:spacing w:after="0" w:line="115"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color w:val="auto"/>
        </w:rPr>
        <w:t>The Company leases vehicles and certain equipment under capital leases. The economic substance of the leases is a financing transaction for acquisition of the vehicles and equipment and, accordingly, the leases are included in the balance sheets in property and equipment, net of accumulated depreciation, with a corresponding amount recorded in current portion of capital lease obligations or capital lease obligations, net of current maturities, as appropriate. The capital lease assets are amortized on a straight-line basis over the life of the lease or, if shorter, the life of the leased asset, and included in depreciation expense in the statements of operations. The interest associated with capital leases is included in interest expense in the statements of operations.</w:t>
      </w:r>
    </w:p>
    <w:p>
      <w:pPr>
        <w:spacing w:after="0" w:line="53" w:lineRule="exact"/>
        <w:rPr>
          <w:sz w:val="20"/>
          <w:szCs w:val="20"/>
          <w:color w:val="auto"/>
        </w:rPr>
      </w:pPr>
    </w:p>
    <w:p>
      <w:pPr>
        <w:ind w:left="40" w:right="40" w:firstLine="268"/>
        <w:spacing w:after="0" w:line="272" w:lineRule="auto"/>
        <w:rPr>
          <w:sz w:val="20"/>
          <w:szCs w:val="20"/>
          <w:color w:val="auto"/>
        </w:rPr>
      </w:pPr>
      <w:r>
        <w:rPr>
          <w:rFonts w:ascii="Arial" w:cs="Arial" w:eastAsia="Arial" w:hAnsi="Arial"/>
          <w:sz w:val="18"/>
          <w:szCs w:val="18"/>
          <w:color w:val="auto"/>
        </w:rPr>
        <w:t>As of December 31, 2017, the Company had approximately $3.7 million of capital lease obligations outstanding, $1.1 million of which was classified as a current liability.</w:t>
      </w:r>
    </w:p>
    <w:p>
      <w:pPr>
        <w:spacing w:after="0" w:line="67" w:lineRule="exact"/>
        <w:rPr>
          <w:sz w:val="20"/>
          <w:szCs w:val="20"/>
          <w:color w:val="auto"/>
        </w:rPr>
      </w:pPr>
    </w:p>
    <w:p>
      <w:pPr>
        <w:jc w:val="both"/>
        <w:ind w:left="40" w:right="560" w:firstLine="268"/>
        <w:spacing w:after="0" w:line="260" w:lineRule="auto"/>
        <w:rPr>
          <w:sz w:val="20"/>
          <w:szCs w:val="20"/>
          <w:color w:val="auto"/>
        </w:rPr>
      </w:pPr>
      <w:r>
        <w:rPr>
          <w:rFonts w:ascii="Arial" w:cs="Arial" w:eastAsia="Arial" w:hAnsi="Arial"/>
          <w:sz w:val="18"/>
          <w:szCs w:val="18"/>
          <w:color w:val="auto"/>
        </w:rPr>
        <w:t>As of December 31, 2017 and 2016, $3.7 million and $5.0 million, respectively, of leased assets were capitalized in construction equipment, net of accumulated depreciation. Additional information related to property and equipment is provided in Note 6 — Property and Equipment to the Financial Statements.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leases real estate, construction equipment and office equipment under operating leases with remaining terms ranging from one to six years.</w:t>
      </w:r>
    </w:p>
    <w:p>
      <w:pPr>
        <w:spacing w:after="0" w:line="138" w:lineRule="exact"/>
        <w:rPr>
          <w:sz w:val="20"/>
          <w:szCs w:val="20"/>
          <w:color w:val="auto"/>
        </w:rPr>
      </w:pPr>
    </w:p>
    <w:p>
      <w:pPr>
        <w:ind w:left="40" w:right="140" w:firstLine="268"/>
        <w:spacing w:after="0" w:line="272" w:lineRule="auto"/>
        <w:rPr>
          <w:sz w:val="20"/>
          <w:szCs w:val="20"/>
          <w:color w:val="auto"/>
        </w:rPr>
      </w:pPr>
      <w:r>
        <w:rPr>
          <w:rFonts w:ascii="Arial" w:cs="Arial" w:eastAsia="Arial" w:hAnsi="Arial"/>
          <w:sz w:val="18"/>
          <w:szCs w:val="18"/>
          <w:color w:val="auto"/>
        </w:rPr>
        <w:t>Rent expense includes lease payments as well as rent on items that are rented under cancellable rental agreements. Total rent expense for the years ended December 31, 2017, 2016 and 2015, was $44.6 million, $44.9 million and $57.2 million, respectively.</w:t>
      </w:r>
    </w:p>
    <w:p>
      <w:pPr>
        <w:spacing w:after="0" w:line="200" w:lineRule="exact"/>
        <w:rPr>
          <w:sz w:val="20"/>
          <w:szCs w:val="20"/>
          <w:color w:val="auto"/>
        </w:rPr>
      </w:pPr>
    </w:p>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80" w:name="page81"/>
    <w:bookmarkEnd w:id="8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 Obligations – (continued)</w:t>
      </w:r>
    </w:p>
    <w:p>
      <w:pPr>
        <w:spacing w:after="0" w:line="119"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color w:val="auto"/>
        </w:rPr>
        <w:t>The future minimum lease payments required under capital leases, together with their present value of capital leases, and operating leases as of December 31,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2873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8739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9525</wp:posOffset>
            </wp:positionV>
            <wp:extent cx="14986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9860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8"/>
        </w:trPr>
        <w:tc>
          <w:tcPr>
            <w:tcW w:w="8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70"/>
        </w:trPr>
        <w:tc>
          <w:tcPr>
            <w:tcW w:w="80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208"/>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5"/>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5"/>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11,831</w:t>
            </w:r>
          </w:p>
        </w:tc>
        <w:tc>
          <w:tcPr>
            <w:tcW w:w="0" w:type="dxa"/>
            <w:vAlign w:val="bottom"/>
          </w:tcPr>
          <w:p>
            <w:pPr>
              <w:spacing w:after="0"/>
              <w:rPr>
                <w:sz w:val="1"/>
                <w:szCs w:val="1"/>
                <w:color w:val="auto"/>
              </w:rPr>
            </w:pPr>
          </w:p>
        </w:tc>
      </w:tr>
      <w:tr>
        <w:trPr>
          <w:trHeight w:val="208"/>
        </w:trPr>
        <w:tc>
          <w:tcPr>
            <w:tcW w:w="80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Interest</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(200)</w:t>
            </w: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of minimum lease payments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8"/>
                <w:szCs w:val="18"/>
                <w:color w:val="auto"/>
              </w:rPr>
              <w:t>Less: Current portion of capital lease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capital lease obligations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026275" cy="1790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Stock-Based Compensation</w:t>
      </w:r>
    </w:p>
    <w:p>
      <w:pPr>
        <w:spacing w:after="0" w:line="119" w:lineRule="exact"/>
        <w:rPr>
          <w:sz w:val="20"/>
          <w:szCs w:val="20"/>
          <w:color w:val="auto"/>
        </w:rPr>
      </w:pPr>
    </w:p>
    <w:p>
      <w:pPr>
        <w:ind w:left="60" w:firstLine="268"/>
        <w:spacing w:after="0" w:line="286"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(the “LTIP”) and the 2007 Long-Term Incentive Plan (Amended and Restated as of May 1, 2014) (the “2007 Plan”). Upon the adoption of the LTIP, awards were no longer granted under the 2007 Plan. The LTIP was approved by our stockholders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900,000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 exercise price or base price, as the case may be, that is not less than the full fair market value per share on the date of grant. No stock option or stock appreciation right may be exercised more than 10 years from the date of grant.</w:t>
      </w:r>
    </w:p>
    <w:p>
      <w:pPr>
        <w:spacing w:after="0" w:line="65" w:lineRule="exact"/>
        <w:rPr>
          <w:sz w:val="20"/>
          <w:szCs w:val="20"/>
          <w:color w:val="auto"/>
        </w:rPr>
      </w:pPr>
    </w:p>
    <w:p>
      <w:pPr>
        <w:ind w:left="60" w:right="60" w:firstLine="268"/>
        <w:spacing w:after="0" w:line="396" w:lineRule="auto"/>
        <w:rPr>
          <w:sz w:val="20"/>
          <w:szCs w:val="20"/>
          <w:color w:val="auto"/>
        </w:rPr>
      </w:pPr>
      <w:r>
        <w:rPr>
          <w:rFonts w:ascii="Arial" w:cs="Arial" w:eastAsia="Arial" w:hAnsi="Arial"/>
          <w:sz w:val="18"/>
          <w:szCs w:val="18"/>
          <w:color w:val="auto"/>
        </w:rPr>
        <w:t xml:space="preserve">Shares issued as a result of stock option exercises or stock grants are made available from authorized unissued shares of common stock or treasury stock. </w:t>
      </w:r>
      <w:r>
        <w:rPr>
          <w:rFonts w:ascii="Arial" w:cs="Arial" w:eastAsia="Arial" w:hAnsi="Arial"/>
          <w:sz w:val="18"/>
          <w:szCs w:val="18"/>
          <w:b w:val="1"/>
          <w:bCs w:val="1"/>
          <w:i w:val="1"/>
          <w:iCs w:val="1"/>
          <w:color w:val="auto"/>
        </w:rPr>
        <w:t>Stock Options</w:t>
      </w:r>
    </w:p>
    <w:p>
      <w:pPr>
        <w:spacing w:after="0" w:line="1" w:lineRule="exact"/>
        <w:rPr>
          <w:sz w:val="20"/>
          <w:szCs w:val="20"/>
          <w:color w:val="auto"/>
        </w:rPr>
      </w:pPr>
    </w:p>
    <w:p>
      <w:pPr>
        <w:ind w:left="60" w:right="120" w:firstLine="268"/>
        <w:spacing w:after="0" w:line="256" w:lineRule="auto"/>
        <w:rPr>
          <w:sz w:val="20"/>
          <w:szCs w:val="20"/>
          <w:color w:val="auto"/>
        </w:rPr>
      </w:pPr>
      <w:r>
        <w:rPr>
          <w:rFonts w:ascii="Arial" w:cs="Arial" w:eastAsia="Arial" w:hAnsi="Arial"/>
          <w:sz w:val="18"/>
          <w:szCs w:val="18"/>
          <w:color w:val="auto"/>
        </w:rPr>
        <w:t>The Company has not awarded any stock options since 2013. Stock options granted to employees or directors vested ratably over a three- or four-year vesting period and were granted with an exercise price equal to the market price of the Company’s stock on the date of grant. The Company used the Black-Scholes-Merton option-pricing model to estimate the fair value of options as of the date of grant. All stock options were fully expensed as of December 31, 2016.</w:t>
      </w:r>
    </w:p>
    <w:p>
      <w:pPr>
        <w:spacing w:after="0" w:line="200" w:lineRule="exact"/>
        <w:rPr>
          <w:sz w:val="20"/>
          <w:szCs w:val="20"/>
          <w:color w:val="auto"/>
        </w:rPr>
      </w:pPr>
    </w:p>
    <w:p>
      <w:pPr>
        <w:spacing w:after="0" w:line="3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60" w:top="787" w:right="199"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340" w:hanging="274"/>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 (continued)</w:t>
      </w:r>
    </w:p>
    <w:p>
      <w:pPr>
        <w:spacing w:after="0" w:line="11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Following is a summary of stock option activity for the three-year period ending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844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84425" cy="825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39370</wp:posOffset>
            </wp:positionV>
            <wp:extent cx="32359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3596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vMerge w:val="restart"/>
          </w:tcPr>
          <w:p>
            <w:pPr>
              <w:jc w:val="center"/>
              <w:ind w:right="9"/>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440"/>
              <w:spacing w:after="0" w:line="147"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9"/>
              <w:spacing w:after="0" w:line="147"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5"/>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99"/>
              <w:spacing w:after="0" w:line="147"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9"/>
              <w:spacing w:after="0" w:line="147"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5"/>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219"/>
              <w:spacing w:after="0" w:line="147"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0"/>
        </w:trPr>
        <w:tc>
          <w:tcPr>
            <w:tcW w:w="5660" w:type="dxa"/>
            <w:vAlign w:val="bottom"/>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9"/>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2015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1,008,781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(267,440)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(9,446)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730,605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right="440"/>
              <w:spacing w:after="0"/>
              <w:rPr>
                <w:sz w:val="20"/>
                <w:szCs w:val="20"/>
                <w:color w:val="auto"/>
              </w:rPr>
            </w:pPr>
            <w:r>
              <w:rPr>
                <w:rFonts w:ascii="Arial" w:cs="Arial" w:eastAsia="Arial" w:hAnsi="Arial"/>
                <w:sz w:val="18"/>
                <w:szCs w:val="18"/>
                <w:color w:val="auto"/>
                <w:w w:val="89"/>
              </w:rPr>
              <w:t>3.6 years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(443,283)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(40,672)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245,717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right="440"/>
              <w:spacing w:after="0"/>
              <w:rPr>
                <w:sz w:val="20"/>
                <w:szCs w:val="20"/>
                <w:color w:val="auto"/>
              </w:rPr>
            </w:pPr>
            <w:r>
              <w:rPr>
                <w:rFonts w:ascii="Arial" w:cs="Arial" w:eastAsia="Arial" w:hAnsi="Arial"/>
                <w:sz w:val="18"/>
                <w:szCs w:val="18"/>
                <w:color w:val="auto"/>
                <w:w w:val="89"/>
              </w:rPr>
              <w:t>4.4 years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(79,797)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December 31, 2017</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165,920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center"/>
              <w:ind w:right="440"/>
              <w:spacing w:after="0"/>
              <w:rPr>
                <w:sz w:val="20"/>
                <w:szCs w:val="20"/>
                <w:color w:val="auto"/>
              </w:rPr>
            </w:pPr>
            <w:r>
              <w:rPr>
                <w:rFonts w:ascii="Arial" w:cs="Arial" w:eastAsia="Arial" w:hAnsi="Arial"/>
                <w:sz w:val="18"/>
                <w:szCs w:val="18"/>
                <w:color w:val="auto"/>
                <w:w w:val="89"/>
              </w:rPr>
              <w:t>4.2 years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6920" w:type="dxa"/>
            <w:vAlign w:val="bottom"/>
            <w:gridSpan w:val="3"/>
          </w:tcPr>
          <w:p>
            <w:pPr>
              <w:ind w:left="340"/>
              <w:spacing w:after="0"/>
              <w:rPr>
                <w:sz w:val="20"/>
                <w:szCs w:val="20"/>
                <w:color w:val="auto"/>
              </w:rPr>
            </w:pPr>
            <w:r>
              <w:rPr>
                <w:rFonts w:ascii="Arial" w:cs="Arial" w:eastAsia="Arial" w:hAnsi="Arial"/>
                <w:sz w:val="18"/>
                <w:szCs w:val="18"/>
                <w:color w:val="auto"/>
                <w:w w:val="96"/>
              </w:rPr>
              <w:t>Other data relating to option activity for the years ended December 31 are as follows: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1,721</w:t>
            </w:r>
          </w:p>
        </w:tc>
        <w:tc>
          <w:tcPr>
            <w:tcW w:w="560" w:type="dxa"/>
            <w:vAlign w:val="bottom"/>
            <w:gridSpan w:val="3"/>
            <w:shd w:val="clear" w:color="auto" w:fill="CCEEFF"/>
          </w:tcPr>
          <w:p>
            <w:pPr>
              <w:jc w:val="right"/>
              <w:ind w:right="16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Arial" w:cs="Arial" w:eastAsia="Arial" w:hAnsi="Arial"/>
                <w:sz w:val="18"/>
                <w:szCs w:val="18"/>
                <w:color w:val="auto"/>
              </w:rPr>
              <w:t>Fair value of options vested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-1608455</wp:posOffset>
            </wp:positionV>
            <wp:extent cx="7026275" cy="1447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-1046480</wp:posOffset>
            </wp:positionV>
            <wp:extent cx="7026275" cy="153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026275"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30149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01498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-492760</wp:posOffset>
            </wp:positionV>
            <wp:extent cx="4089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8940" cy="8255"/>
                    </a:xfrm>
                    <a:prstGeom prst="rect">
                      <a:avLst/>
                    </a:prstGeom>
                    <a:noFill/>
                  </pic:spPr>
                </pic:pic>
              </a:graphicData>
            </a:graphic>
          </wp:anchor>
        </w:drawing>
        <w:drawing>
          <wp:anchor simplePos="0" relativeHeight="251657728" behindDoc="1" locked="0" layoutInCell="0" allowOverlap="1">
            <wp:simplePos x="0" y="0"/>
            <wp:positionH relativeFrom="column">
              <wp:posOffset>5617210</wp:posOffset>
            </wp:positionH>
            <wp:positionV relativeFrom="paragraph">
              <wp:posOffset>-492760</wp:posOffset>
            </wp:positionV>
            <wp:extent cx="11836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information with respect to stock options outstanding and exercisable under the Company’s plans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25552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55240" cy="825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53975</wp:posOffset>
            </wp:positionV>
            <wp:extent cx="5448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483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53975</wp:posOffset>
            </wp:positionV>
            <wp:extent cx="15582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tcBorders>
              <w:bottom w:val="single" w:sz="8" w:color="auto"/>
            </w:tcBorders>
            <w:gridSpan w:val="7"/>
          </w:tcPr>
          <w:p>
            <w:pPr>
              <w:ind w:left="1100"/>
              <w:spacing w:after="0"/>
              <w:rPr>
                <w:sz w:val="20"/>
                <w:szCs w:val="20"/>
                <w:color w:val="auto"/>
              </w:rPr>
            </w:pPr>
            <w:r>
              <w:rPr>
                <w:rFonts w:ascii="Arial" w:cs="Arial" w:eastAsia="Arial" w:hAnsi="Arial"/>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8"/>
        </w:trPr>
        <w:tc>
          <w:tcPr>
            <w:tcW w:w="6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0"/>
                <w:szCs w:val="10"/>
                <w:color w:val="auto"/>
              </w:rPr>
            </w:pPr>
          </w:p>
        </w:tc>
        <w:tc>
          <w:tcPr>
            <w:tcW w:w="16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620" w:type="dxa"/>
            <w:vAlign w:val="bottom"/>
          </w:tcPr>
          <w:p>
            <w:pPr>
              <w:ind w:left="480"/>
              <w:spacing w:after="0" w:line="147"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 Price</w:t>
            </w: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1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0"/>
        </w:trPr>
        <w:tc>
          <w:tcPr>
            <w:tcW w:w="6600" w:type="dxa"/>
            <w:vAlign w:val="bottom"/>
            <w:gridSpan w:val="2"/>
            <w:vMerge w:val="continue"/>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08"/>
        </w:trPr>
        <w:tc>
          <w:tcPr>
            <w:tcW w:w="6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$17.18 – $17.48</w:t>
            </w:r>
          </w:p>
        </w:tc>
        <w:tc>
          <w:tcPr>
            <w:tcW w:w="160" w:type="dxa"/>
            <w:vAlign w:val="bottom"/>
          </w:tcPr>
          <w:p>
            <w:pPr>
              <w:spacing w:after="0"/>
              <w:rPr>
                <w:sz w:val="18"/>
                <w:szCs w:val="18"/>
                <w:color w:val="auto"/>
              </w:rPr>
            </w:pP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60,267</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8"/>
                <w:szCs w:val="18"/>
                <w:color w:val="auto"/>
              </w:rPr>
              <w:t>17.44</w:t>
            </w:r>
          </w:p>
        </w:tc>
        <w:tc>
          <w:tcPr>
            <w:tcW w:w="160" w:type="dxa"/>
            <w:vAlign w:val="bottom"/>
          </w:tcPr>
          <w:p>
            <w:pPr>
              <w:spacing w:after="0"/>
              <w:rPr>
                <w:sz w:val="18"/>
                <w:szCs w:val="18"/>
                <w:color w:val="auto"/>
              </w:rPr>
            </w:pPr>
          </w:p>
        </w:tc>
        <w:tc>
          <w:tcPr>
            <w:tcW w:w="16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3.9 years</w:t>
            </w:r>
          </w:p>
        </w:tc>
        <w:tc>
          <w:tcPr>
            <w:tcW w:w="0" w:type="dxa"/>
            <w:vAlign w:val="bottom"/>
          </w:tcPr>
          <w:p>
            <w:pPr>
              <w:spacing w:after="0"/>
              <w:rPr>
                <w:sz w:val="1"/>
                <w:szCs w:val="1"/>
                <w:color w:val="auto"/>
              </w:rPr>
            </w:pPr>
          </w:p>
        </w:tc>
      </w:tr>
      <w:tr>
        <w:trPr>
          <w:trHeight w:val="215"/>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$24.18 – $24.18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44,151</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24.18</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3.2 years</w:t>
            </w:r>
          </w:p>
        </w:tc>
        <w:tc>
          <w:tcPr>
            <w:tcW w:w="0" w:type="dxa"/>
            <w:vAlign w:val="bottom"/>
          </w:tcPr>
          <w:p>
            <w:pPr>
              <w:spacing w:after="0"/>
              <w:rPr>
                <w:sz w:val="1"/>
                <w:szCs w:val="1"/>
                <w:color w:val="auto"/>
              </w:rPr>
            </w:pPr>
          </w:p>
        </w:tc>
      </w:tr>
      <w:tr>
        <w:trPr>
          <w:trHeight w:val="215"/>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$24.68 – $24.68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61,502</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60"/>
              <w:spacing w:after="0"/>
              <w:rPr>
                <w:sz w:val="20"/>
                <w:szCs w:val="20"/>
                <w:color w:val="auto"/>
              </w:rPr>
            </w:pPr>
            <w:r>
              <w:rPr>
                <w:rFonts w:ascii="Arial" w:cs="Arial" w:eastAsia="Arial" w:hAnsi="Arial"/>
                <w:sz w:val="18"/>
                <w:szCs w:val="18"/>
                <w:color w:val="auto"/>
              </w:rPr>
              <w:t>24.68</w:t>
            </w:r>
          </w:p>
        </w:tc>
        <w:tc>
          <w:tcPr>
            <w:tcW w:w="160" w:type="dxa"/>
            <w:vAlign w:val="bottom"/>
          </w:tcPr>
          <w:p>
            <w:pPr>
              <w:spacing w:after="0"/>
              <w:rPr>
                <w:sz w:val="18"/>
                <w:szCs w:val="18"/>
                <w:color w:val="auto"/>
              </w:rPr>
            </w:pPr>
          </w:p>
        </w:tc>
        <w:tc>
          <w:tcPr>
            <w:tcW w:w="1620" w:type="dxa"/>
            <w:vAlign w:val="bottom"/>
          </w:tcPr>
          <w:p>
            <w:pPr>
              <w:ind w:left="460"/>
              <w:spacing w:after="0"/>
              <w:rPr>
                <w:sz w:val="20"/>
                <w:szCs w:val="20"/>
                <w:color w:val="auto"/>
              </w:rPr>
            </w:pPr>
            <w:r>
              <w:rPr>
                <w:rFonts w:ascii="Arial" w:cs="Arial" w:eastAsia="Arial" w:hAnsi="Arial"/>
                <w:sz w:val="18"/>
                <w:szCs w:val="18"/>
                <w:color w:val="auto"/>
              </w:rPr>
              <w:t>5.2 years</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165,920</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21.92</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4.2 years</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Time-Vested Stock Awards</w:t>
      </w:r>
    </w:p>
    <w:p>
      <w:pPr>
        <w:spacing w:after="0" w:line="115" w:lineRule="exact"/>
        <w:rPr>
          <w:sz w:val="20"/>
          <w:szCs w:val="20"/>
          <w:color w:val="auto"/>
        </w:rPr>
      </w:pPr>
    </w:p>
    <w:p>
      <w:pPr>
        <w:ind w:left="60" w:firstLine="268"/>
        <w:spacing w:after="0" w:line="283" w:lineRule="auto"/>
        <w:rPr>
          <w:sz w:val="20"/>
          <w:szCs w:val="20"/>
          <w:color w:val="auto"/>
        </w:rPr>
      </w:pPr>
      <w:r>
        <w:rPr>
          <w:rFonts w:ascii="Arial" w:cs="Arial" w:eastAsia="Arial" w:hAnsi="Arial"/>
          <w:sz w:val="17"/>
          <w:szCs w:val="17"/>
          <w:color w:val="auto"/>
        </w:rPr>
        <w:t>The company grants time-vested stock awards in the form of restricted stock awards, restricted stock units or equity-settled phantom stock. Time-vested stock awards granted to non-employee directors and eligible employees in 2017 vest ratably, on an annual basis, over three years. The grant date fair value of the time-vested stock awards was equal to the closing market price of the Company’s common stock on the date of grant.</w:t>
      </w: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20"/>
          </w:cols>
          <w:pgMar w:left="360" w:top="787" w:right="219"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340" w:hanging="274"/>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 (continued)</w:t>
      </w:r>
    </w:p>
    <w:p>
      <w:pPr>
        <w:spacing w:after="0" w:line="11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Following is a summary of time-vested stock awards activity for the three-year period ending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2873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8739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39370</wp:posOffset>
            </wp:positionV>
            <wp:extent cx="1532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6"/>
              <w:spacing w:after="0" w:line="14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6"/>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6"/>
              <w:spacing w:after="0" w:line="147"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0"/>
        </w:trPr>
        <w:tc>
          <w:tcPr>
            <w:tcW w:w="8240" w:type="dxa"/>
            <w:vAlign w:val="bottom"/>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unvested at January 1, 2015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220,337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5"/>
        </w:trPr>
        <w:tc>
          <w:tcPr>
            <w:tcW w:w="82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87,040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(102,297)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5"/>
        </w:trPr>
        <w:tc>
          <w:tcPr>
            <w:tcW w:w="82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(3,131)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unvested at December 31, 2015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201,949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5"/>
        </w:trPr>
        <w:tc>
          <w:tcPr>
            <w:tcW w:w="82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112,912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(88,301)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5"/>
        </w:trPr>
        <w:tc>
          <w:tcPr>
            <w:tcW w:w="82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(3,144)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unvested at December 31, 2016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223,416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5"/>
        </w:trPr>
        <w:tc>
          <w:tcPr>
            <w:tcW w:w="82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66,352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(99,774)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5"/>
        </w:trPr>
        <w:tc>
          <w:tcPr>
            <w:tcW w:w="82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(1,346)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unvested at December 31, 2017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188,648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15" w:lineRule="exact"/>
        <w:rPr>
          <w:sz w:val="20"/>
          <w:szCs w:val="20"/>
          <w:color w:val="auto"/>
        </w:rPr>
      </w:pPr>
    </w:p>
    <w:p>
      <w:pPr>
        <w:ind w:left="60" w:firstLine="268"/>
        <w:spacing w:after="0" w:line="291" w:lineRule="auto"/>
        <w:rPr>
          <w:sz w:val="20"/>
          <w:szCs w:val="20"/>
          <w:color w:val="auto"/>
        </w:rPr>
      </w:pPr>
      <w:r>
        <w:rPr>
          <w:rFonts w:ascii="Arial" w:cs="Arial" w:eastAsia="Arial" w:hAnsi="Arial"/>
          <w:sz w:val="16"/>
          <w:szCs w:val="16"/>
          <w:color w:val="auto"/>
        </w:rPr>
        <w:t>The Company grants performance awards under which shares of the Company’s common stock may be earned based on the Company’s performance compared to defined metrics. The number of shares earned under a performance award may vary from zero to 200% of the target shares awarded, based upon the Company’s performance compared to the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 Performance awards cliff vest upon attainment of at least the minimum stated performance targets and minimum service requirements and are paid in common shares of the Company’s stock.</w:t>
      </w:r>
    </w:p>
    <w:p>
      <w:pPr>
        <w:spacing w:after="0" w:line="56" w:lineRule="exact"/>
        <w:rPr>
          <w:sz w:val="20"/>
          <w:szCs w:val="20"/>
          <w:color w:val="auto"/>
        </w:rPr>
      </w:pPr>
    </w:p>
    <w:p>
      <w:pPr>
        <w:ind w:left="60" w:right="220" w:firstLine="268"/>
        <w:spacing w:after="0" w:line="294" w:lineRule="auto"/>
        <w:rPr>
          <w:sz w:val="20"/>
          <w:szCs w:val="20"/>
          <w:color w:val="auto"/>
        </w:rPr>
      </w:pPr>
      <w:r>
        <w:rPr>
          <w:rFonts w:ascii="Arial" w:cs="Arial" w:eastAsia="Arial" w:hAnsi="Arial"/>
          <w:sz w:val="16"/>
          <w:szCs w:val="16"/>
          <w:color w:val="auto"/>
        </w:rPr>
        <w:t>The Company recognizes stock-based compensation expense related to market-based performance awards based on the grant date fair value, which is computed using a Monte Carlo simulation. The Company recognizes stock-based compensation expense related to internal measure-based performance awards based on the grant date fair value, which was the closing price of the Company’s stock on the date of grant. The Company adjusts the stock-based compensation expense related to internal metric-based performance awards according to its determination of the potential achievement of the performance target at each reporting date. The fair value of performance grants are expensed over the service period of approximately 2.8 years.</w:t>
      </w:r>
    </w:p>
    <w:p>
      <w:pPr>
        <w:spacing w:after="0" w:line="200" w:lineRule="exact"/>
        <w:rPr>
          <w:sz w:val="20"/>
          <w:szCs w:val="20"/>
          <w:color w:val="auto"/>
        </w:rPr>
      </w:pPr>
    </w:p>
    <w:p>
      <w:pPr>
        <w:spacing w:after="0" w:line="29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60" w:top="787" w:right="199"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340" w:hanging="274"/>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 (continued)</w:t>
      </w:r>
    </w:p>
    <w:p>
      <w:pPr>
        <w:spacing w:after="0" w:line="11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Following is a summary of performance share award activity for the three-year period ending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2873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8739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39370</wp:posOffset>
            </wp:positionV>
            <wp:extent cx="1532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0"/>
        </w:trPr>
        <w:tc>
          <w:tcPr>
            <w:tcW w:w="8240" w:type="dxa"/>
            <w:vAlign w:val="bottom"/>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2015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8"/>
                <w:szCs w:val="18"/>
                <w:color w:val="auto"/>
              </w:rPr>
              <w:t>Granted at target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69,978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(40,474)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8"/>
                <w:szCs w:val="18"/>
                <w:color w:val="auto"/>
              </w:rPr>
              <w:t>Forfeited for performance below target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(3,810)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08"/>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Outstanding at December 31, 2015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143,608</w:t>
            </w: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tcPr>
          <w:p>
            <w:pPr>
              <w:jc w:val="right"/>
              <w:ind w:right="115"/>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at target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79,661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8"/>
                <w:szCs w:val="18"/>
                <w:color w:val="auto"/>
              </w:rPr>
              <w:t>Earned for performance above target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20,650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(98,270)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(1,626)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144,023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8"/>
                <w:szCs w:val="18"/>
                <w:color w:val="auto"/>
              </w:rPr>
              <w:t>Granted at target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47,454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for performance below target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(24,873)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(39,407)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08"/>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Outstanding at December 31, 2017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126,975</w:t>
            </w: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tcPr>
          <w:p>
            <w:pPr>
              <w:jc w:val="right"/>
              <w:ind w:right="115"/>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-1557655</wp:posOffset>
            </wp:positionV>
            <wp:extent cx="7026275" cy="1447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026275" cy="1790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left="60" w:firstLine="268"/>
        <w:spacing w:after="0" w:line="268" w:lineRule="auto"/>
        <w:rPr>
          <w:sz w:val="20"/>
          <w:szCs w:val="20"/>
          <w:color w:val="auto"/>
        </w:rPr>
      </w:pPr>
      <w:r>
        <w:rPr>
          <w:rFonts w:ascii="Arial" w:cs="Arial" w:eastAsia="Arial" w:hAnsi="Arial"/>
          <w:sz w:val="17"/>
          <w:szCs w:val="17"/>
          <w:color w:val="auto"/>
        </w:rPr>
        <w:t>The Company recognized stock-based compensation expense of approximately $4.4 million, $4.7 million and $4.8 million for the years ended December 31, 2017, 2016 and 2015, respectively, in selling, general and administrative expenses. As of December 31, 2017, there was approximately $4.4 million of total unrecognized stock-based compensation expense related to awards granted under the LTIP and 2007 Plan. This included $2.5 million of unrecognized compensation cost related to unvested time-vested stock awards expected to be recognized over a remaining weighted average vesting period of approximately 1.8 years and $1.9 million of unrecognized compensation cost related to unvested performance awards, expected to be recognized over a remaining weighted average vesting period of approximately 1.4 years. Time-vested stock awards granted to non-employee directors after 2013, and all directors after 2016, contained provisions which call for the vesting of all shares awarded upon change in control or resignation from the board for any reason except breach of fiduciary duty. As a result of these provisions, the fair value of time-vested stock awards granted to the non-employee directors after 2013 and all directors after 2016, was expensed on the date of the grant.</w:t>
      </w:r>
    </w:p>
    <w:p>
      <w:pPr>
        <w:spacing w:after="0" w:line="74" w:lineRule="exact"/>
        <w:rPr>
          <w:sz w:val="20"/>
          <w:szCs w:val="20"/>
          <w:color w:val="auto"/>
        </w:rPr>
      </w:pPr>
    </w:p>
    <w:p>
      <w:pPr>
        <w:jc w:val="both"/>
        <w:ind w:left="60" w:right="140" w:firstLine="268"/>
        <w:spacing w:after="0" w:line="260" w:lineRule="auto"/>
        <w:rPr>
          <w:sz w:val="20"/>
          <w:szCs w:val="20"/>
          <w:color w:val="auto"/>
        </w:rPr>
      </w:pPr>
      <w:r>
        <w:rPr>
          <w:rFonts w:ascii="Arial" w:cs="Arial" w:eastAsia="Arial" w:hAnsi="Arial"/>
          <w:sz w:val="18"/>
          <w:szCs w:val="18"/>
          <w:color w:val="auto"/>
        </w:rPr>
        <w:t xml:space="preserve">The Company adopted ASU No.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on January 1, 2017. See Note 1 — Organization, Business and Significant Accounting Policies to the Financial Statements for further information regarding ASU No.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718)</w:t>
      </w:r>
      <w:r>
        <w:rPr>
          <w:rFonts w:ascii="Arial" w:cs="Arial" w:eastAsia="Arial" w:hAnsi="Arial"/>
          <w:sz w:val="18"/>
          <w:szCs w:val="18"/>
          <w:color w:val="auto"/>
        </w:rPr>
        <w: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Employee Benefit Plans</w:t>
      </w:r>
    </w:p>
    <w:p>
      <w:pPr>
        <w:spacing w:after="0" w:line="119" w:lineRule="exact"/>
        <w:rPr>
          <w:sz w:val="20"/>
          <w:szCs w:val="20"/>
          <w:color w:val="auto"/>
        </w:rPr>
      </w:pPr>
    </w:p>
    <w:p>
      <w:pPr>
        <w:ind w:left="60" w:right="80" w:firstLine="268"/>
        <w:spacing w:after="0" w:line="260" w:lineRule="auto"/>
        <w:rPr>
          <w:sz w:val="20"/>
          <w:szCs w:val="20"/>
          <w:color w:val="auto"/>
        </w:rPr>
      </w:pPr>
      <w:r>
        <w:rPr>
          <w:rFonts w:ascii="Arial" w:cs="Arial" w:eastAsia="Arial" w:hAnsi="Arial"/>
          <w:sz w:val="18"/>
          <w:szCs w:val="18"/>
          <w:color w:val="auto"/>
        </w:rPr>
        <w:t>The Company has a profit sharing and thrift employee benefit plan in effect for all eligible employees. Company contributions under this defined contribution plan are based upon a percentage of income with limitations as defined by the plan. Contributions for the years ended December 31, 2017, 2016 and 2015 amounted to $3.4 million, $4.6 million, and $3.4 million, respectively. The Company also has an</w:t>
      </w:r>
    </w:p>
    <w:p>
      <w:pPr>
        <w:spacing w:after="0" w:line="200" w:lineRule="exact"/>
        <w:rPr>
          <w:sz w:val="20"/>
          <w:szCs w:val="20"/>
          <w:color w:val="auto"/>
        </w:rPr>
      </w:pPr>
    </w:p>
    <w:p>
      <w:pPr>
        <w:spacing w:after="0" w:line="3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60" w:top="787" w:right="1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Employee Benefit Plans – (continued)</w:t>
      </w:r>
    </w:p>
    <w:p>
      <w:pPr>
        <w:spacing w:after="0" w:line="119" w:lineRule="exact"/>
        <w:rPr>
          <w:sz w:val="20"/>
          <w:szCs w:val="20"/>
          <w:color w:val="auto"/>
        </w:rPr>
      </w:pPr>
    </w:p>
    <w:p>
      <w:pPr>
        <w:ind w:left="40" w:right="40"/>
        <w:spacing w:after="0" w:line="256" w:lineRule="auto"/>
        <w:rPr>
          <w:sz w:val="20"/>
          <w:szCs w:val="20"/>
          <w:color w:val="auto"/>
        </w:rPr>
      </w:pPr>
      <w:r>
        <w:rPr>
          <w:rFonts w:ascii="Arial" w:cs="Arial" w:eastAsia="Arial" w:hAnsi="Arial"/>
          <w:sz w:val="18"/>
          <w:szCs w:val="18"/>
          <w:color w:val="auto"/>
        </w:rPr>
        <w:t>employee benefit plan in effect for certain non-union hourly employees. Company contributions under this defined contribution plan are based upon a percentage of income with limitations as defined by the plan. Contributions for the years ended December 31, 2017, 2016 and 2015 amounted to $0.6 million, $0.6 million and $0.7 million, respectively. The Company also has a registered retirement saving plan for certain Canadian employees, contributions to this plan for the year ended December 31, 2017 amounted to $0.1 million.</w:t>
      </w:r>
    </w:p>
    <w:p>
      <w:pPr>
        <w:spacing w:after="0" w:line="83" w:lineRule="exact"/>
        <w:rPr>
          <w:sz w:val="20"/>
          <w:szCs w:val="20"/>
          <w:color w:val="auto"/>
        </w:rPr>
      </w:pPr>
    </w:p>
    <w:p>
      <w:pPr>
        <w:ind w:left="40" w:right="140" w:firstLine="268"/>
        <w:spacing w:after="0" w:line="256" w:lineRule="auto"/>
        <w:rPr>
          <w:sz w:val="20"/>
          <w:szCs w:val="20"/>
          <w:color w:val="auto"/>
        </w:rPr>
      </w:pPr>
      <w:r>
        <w:rPr>
          <w:rFonts w:ascii="Arial" w:cs="Arial" w:eastAsia="Arial" w:hAnsi="Arial"/>
          <w:sz w:val="18"/>
          <w:szCs w:val="18"/>
          <w:color w:val="auto"/>
        </w:rPr>
        <w:t>The Company contributes to a number of multiemployer defined benefit pension plans under the terms of collective-bargaining agreements that cover its union-represented employees, who are represented by over 100 local unions. The related collective-bargaining agreements between those organizations and the Company, which specify the rate at which the Company must contribute to the multi-employer defined pension plan, expire at different times between 2018 and 2020.</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risks of participating in these multiemployer defined benefit pension plans are different from single-employer plans in the following aspects:</w:t>
      </w:r>
    </w:p>
    <w:p>
      <w:pPr>
        <w:spacing w:after="0" w:line="126" w:lineRule="exact"/>
        <w:rPr>
          <w:sz w:val="20"/>
          <w:szCs w:val="20"/>
          <w:color w:val="auto"/>
        </w:rPr>
      </w:pPr>
    </w:p>
    <w:p>
      <w:pPr>
        <w:ind w:left="540" w:hanging="266"/>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Assets contributed to the multiemployer plan by one employer may be used to provide benefits to employees of other participating employers.</w:t>
      </w:r>
    </w:p>
    <w:p>
      <w:pPr>
        <w:spacing w:after="0" w:line="126" w:lineRule="exact"/>
        <w:rPr>
          <w:rFonts w:ascii="Arial" w:cs="Arial" w:eastAsia="Arial" w:hAnsi="Arial"/>
          <w:sz w:val="17"/>
          <w:szCs w:val="17"/>
          <w:color w:val="auto"/>
        </w:rPr>
      </w:pPr>
    </w:p>
    <w:p>
      <w:pPr>
        <w:ind w:left="540" w:hanging="266"/>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 participating employer stops contributing to a plan, the unfunded obligations of the plan may be borne by the remaining participating employers.</w:t>
      </w:r>
    </w:p>
    <w:p>
      <w:pPr>
        <w:spacing w:after="0" w:line="137" w:lineRule="exact"/>
        <w:rPr>
          <w:rFonts w:ascii="Arial" w:cs="Arial" w:eastAsia="Arial" w:hAnsi="Arial"/>
          <w:sz w:val="16"/>
          <w:szCs w:val="16"/>
          <w:color w:val="auto"/>
        </w:rPr>
      </w:pPr>
    </w:p>
    <w:p>
      <w:pPr>
        <w:ind w:left="540" w:right="60" w:hanging="266"/>
        <w:spacing w:after="0" w:line="272"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Company chooses to stop participating in a multiemployer plan, it may be required to pay the plan an amount based on the underfunded status of the plan, referred to as a withdrawal liability.</w:t>
      </w:r>
    </w:p>
    <w:p>
      <w:pPr>
        <w:spacing w:after="0" w:line="67"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spacing w:after="0" w:line="78"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 well as from publicly available information on the U.S. Department of Labor website. The PPA zone status for the plan year ended on December 31, 2017 has not been listed because Forms 5500 were not yet 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the aggregate for all other plans.</w:t>
      </w:r>
    </w:p>
    <w:p>
      <w:pPr>
        <w:spacing w:after="0" w:line="200" w:lineRule="exact"/>
        <w:rPr>
          <w:sz w:val="20"/>
          <w:szCs w:val="20"/>
          <w:color w:val="auto"/>
        </w:rPr>
      </w:pPr>
    </w:p>
    <w:p>
      <w:pPr>
        <w:spacing w:after="0" w:line="33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85" w:name="page86"/>
    <w:bookmarkEnd w:id="8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Employee Benefit Plans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0262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26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0262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EIN/Pension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Pension Protection Act Zone Status</w:t>
            </w:r>
          </w:p>
        </w:tc>
        <w:tc>
          <w:tcPr>
            <w:tcW w:w="160" w:type="dxa"/>
            <w:vAlign w:val="bottom"/>
          </w:tcPr>
          <w:p>
            <w:pPr>
              <w:spacing w:after="0"/>
              <w:rPr>
                <w:sz w:val="14"/>
                <w:szCs w:val="14"/>
                <w:color w:val="auto"/>
              </w:rPr>
            </w:pPr>
          </w:p>
        </w:tc>
        <w:tc>
          <w:tcPr>
            <w:tcW w:w="20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Contributions to Plan for the Year</w:t>
            </w: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Funding</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Surcharge</w:t>
            </w:r>
          </w:p>
        </w:tc>
        <w:tc>
          <w:tcPr>
            <w:tcW w:w="0" w:type="dxa"/>
            <w:vAlign w:val="bottom"/>
          </w:tcPr>
          <w:p>
            <w:pPr>
              <w:spacing w:after="0"/>
              <w:rPr>
                <w:sz w:val="1"/>
                <w:szCs w:val="1"/>
                <w:color w:val="auto"/>
              </w:rPr>
            </w:pPr>
          </w:p>
        </w:tc>
      </w:tr>
      <w:tr>
        <w:trPr>
          <w:trHeight w:val="170"/>
        </w:trPr>
        <w:tc>
          <w:tcPr>
            <w:tcW w:w="2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 Number</w:t>
            </w: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Ended December 31,</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Imposed</w:t>
            </w: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Status</w:t>
            </w:r>
          </w:p>
        </w:tc>
        <w:tc>
          <w:tcPr>
            <w:tcW w:w="14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Plan Year</w:t>
            </w:r>
          </w:p>
        </w:tc>
        <w:tc>
          <w:tcPr>
            <w:tcW w:w="160" w:type="dxa"/>
            <w:vAlign w:val="bottom"/>
          </w:tcPr>
          <w:p>
            <w:pPr>
              <w:spacing w:after="0"/>
              <w:rPr>
                <w:sz w:val="10"/>
                <w:szCs w:val="10"/>
                <w:color w:val="auto"/>
              </w:rPr>
            </w:pP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Status</w:t>
            </w:r>
          </w:p>
        </w:tc>
        <w:tc>
          <w:tcPr>
            <w:tcW w:w="16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Plan Year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End</w:t>
            </w:r>
          </w:p>
        </w:tc>
        <w:tc>
          <w:tcPr>
            <w:tcW w:w="16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End</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Defined Benefit Plans: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tcPr>
          <w:p>
            <w:pPr>
              <w:ind w:left="20"/>
              <w:spacing w:after="0"/>
              <w:rPr>
                <w:sz w:val="20"/>
                <w:szCs w:val="20"/>
                <w:color w:val="auto"/>
              </w:rPr>
            </w:pPr>
            <w:r>
              <w:rPr>
                <w:rFonts w:ascii="Arial" w:cs="Arial" w:eastAsia="Arial" w:hAnsi="Arial"/>
                <w:sz w:val="16"/>
                <w:szCs w:val="16"/>
                <w:color w:val="auto"/>
              </w:rPr>
              <w:t>National Electrical Benefit Fund</w:t>
            </w:r>
          </w:p>
        </w:tc>
        <w:tc>
          <w:tcPr>
            <w:tcW w:w="1340" w:type="dxa"/>
            <w:vAlign w:val="bottom"/>
            <w:gridSpan w:val="2"/>
          </w:tcPr>
          <w:p>
            <w:pPr>
              <w:jc w:val="center"/>
              <w:ind w:left="80"/>
              <w:spacing w:after="0"/>
              <w:rPr>
                <w:sz w:val="20"/>
                <w:szCs w:val="20"/>
                <w:color w:val="auto"/>
              </w:rPr>
            </w:pPr>
            <w:r>
              <w:rPr>
                <w:rFonts w:ascii="Arial" w:cs="Arial" w:eastAsia="Arial" w:hAnsi="Arial"/>
                <w:sz w:val="16"/>
                <w:szCs w:val="16"/>
                <w:color w:val="auto"/>
                <w:w w:val="90"/>
              </w:rPr>
              <w:t>53-0181657 001</w:t>
            </w:r>
          </w:p>
        </w:tc>
        <w:tc>
          <w:tcPr>
            <w:tcW w:w="14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w w:val="98"/>
              </w:rPr>
              <w:t>Green</w:t>
            </w:r>
          </w:p>
        </w:tc>
        <w:tc>
          <w:tcPr>
            <w:tcW w:w="1000" w:type="dxa"/>
            <w:vAlign w:val="bottom"/>
            <w:gridSpan w:val="2"/>
          </w:tcPr>
          <w:p>
            <w:pPr>
              <w:jc w:val="center"/>
              <w:ind w:left="121"/>
              <w:spacing w:after="0"/>
              <w:rPr>
                <w:sz w:val="20"/>
                <w:szCs w:val="20"/>
                <w:color w:val="auto"/>
              </w:rPr>
            </w:pPr>
            <w:r>
              <w:rPr>
                <w:rFonts w:ascii="Arial" w:cs="Arial" w:eastAsia="Arial" w:hAnsi="Arial"/>
                <w:sz w:val="16"/>
                <w:szCs w:val="16"/>
                <w:color w:val="auto"/>
                <w:w w:val="89"/>
              </w:rPr>
              <w:t>12/31/2016</w:t>
            </w:r>
          </w:p>
        </w:tc>
        <w:tc>
          <w:tcPr>
            <w:tcW w:w="16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w w:val="98"/>
              </w:rPr>
              <w:t>Green</w:t>
            </w:r>
          </w:p>
        </w:tc>
        <w:tc>
          <w:tcPr>
            <w:tcW w:w="1020" w:type="dxa"/>
            <w:vAlign w:val="bottom"/>
            <w:gridSpan w:val="2"/>
          </w:tcPr>
          <w:p>
            <w:pPr>
              <w:jc w:val="center"/>
              <w:ind w:left="120"/>
              <w:spacing w:after="0"/>
              <w:rPr>
                <w:sz w:val="20"/>
                <w:szCs w:val="20"/>
                <w:color w:val="auto"/>
              </w:rPr>
            </w:pPr>
            <w:r>
              <w:rPr>
                <w:rFonts w:ascii="Arial" w:cs="Arial" w:eastAsia="Arial" w:hAnsi="Arial"/>
                <w:sz w:val="16"/>
                <w:szCs w:val="16"/>
                <w:color w:val="auto"/>
                <w:w w:val="92"/>
              </w:rPr>
              <w:t>12/31/2015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9,542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9,040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6,930</w:t>
            </w: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Eighth District Electrical</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Management Pension Fund</w:t>
            </w:r>
          </w:p>
        </w:tc>
        <w:tc>
          <w:tcPr>
            <w:tcW w:w="134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90"/>
              </w:rPr>
              <w:t>84-6100393 001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Green</w:t>
            </w:r>
          </w:p>
        </w:tc>
        <w:tc>
          <w:tcPr>
            <w:tcW w:w="1000" w:type="dxa"/>
            <w:vAlign w:val="bottom"/>
            <w:gridSpan w:val="2"/>
            <w:shd w:val="clear" w:color="auto" w:fill="CCEEFF"/>
          </w:tcPr>
          <w:p>
            <w:pPr>
              <w:jc w:val="center"/>
              <w:ind w:left="121"/>
              <w:spacing w:after="0"/>
              <w:rPr>
                <w:sz w:val="20"/>
                <w:szCs w:val="20"/>
                <w:color w:val="auto"/>
              </w:rPr>
            </w:pPr>
            <w:r>
              <w:rPr>
                <w:rFonts w:ascii="Arial" w:cs="Arial" w:eastAsia="Arial" w:hAnsi="Arial"/>
                <w:sz w:val="16"/>
                <w:szCs w:val="16"/>
                <w:color w:val="auto"/>
                <w:w w:val="89"/>
              </w:rPr>
              <w:t>3/31/2017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Green</w:t>
            </w:r>
          </w:p>
        </w:tc>
        <w:tc>
          <w:tcPr>
            <w:tcW w:w="1020" w:type="dxa"/>
            <w:vAlign w:val="bottom"/>
            <w:gridSpan w:val="2"/>
            <w:shd w:val="clear" w:color="auto" w:fill="CCEEFF"/>
          </w:tcPr>
          <w:p>
            <w:pPr>
              <w:jc w:val="center"/>
              <w:ind w:left="120"/>
              <w:spacing w:after="0"/>
              <w:rPr>
                <w:sz w:val="20"/>
                <w:szCs w:val="20"/>
                <w:color w:val="auto"/>
              </w:rPr>
            </w:pPr>
            <w:r>
              <w:rPr>
                <w:rFonts w:ascii="Arial" w:cs="Arial" w:eastAsia="Arial" w:hAnsi="Arial"/>
                <w:sz w:val="16"/>
                <w:szCs w:val="16"/>
                <w:color w:val="auto"/>
                <w:w w:val="92"/>
              </w:rPr>
              <w:t>3/31/2016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7,908</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No</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191"/>
        </w:trPr>
        <w:tc>
          <w:tcPr>
            <w:tcW w:w="2400" w:type="dxa"/>
            <w:vAlign w:val="bottom"/>
          </w:tcPr>
          <w:p>
            <w:pPr>
              <w:ind w:left="20"/>
              <w:spacing w:after="0"/>
              <w:rPr>
                <w:sz w:val="20"/>
                <w:szCs w:val="20"/>
                <w:color w:val="auto"/>
              </w:rPr>
            </w:pPr>
            <w:r>
              <w:rPr>
                <w:rFonts w:ascii="Arial" w:cs="Arial" w:eastAsia="Arial" w:hAnsi="Arial"/>
                <w:sz w:val="16"/>
                <w:szCs w:val="16"/>
                <w:color w:val="auto"/>
              </w:rPr>
              <w:t>Indiana/Kentucky/Ohio Regional</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00" w:type="dxa"/>
            <w:vAlign w:val="bottom"/>
          </w:tcPr>
          <w:p>
            <w:pPr>
              <w:ind w:left="200"/>
              <w:spacing w:after="0"/>
              <w:rPr>
                <w:sz w:val="20"/>
                <w:szCs w:val="20"/>
                <w:color w:val="auto"/>
              </w:rPr>
            </w:pPr>
            <w:r>
              <w:rPr>
                <w:rFonts w:ascii="Arial" w:cs="Arial" w:eastAsia="Arial" w:hAnsi="Arial"/>
                <w:sz w:val="16"/>
                <w:szCs w:val="16"/>
                <w:color w:val="auto"/>
              </w:rPr>
              <w:t>Council of Carpenters Pension</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00" w:type="dxa"/>
            <w:vAlign w:val="bottom"/>
          </w:tcPr>
          <w:p>
            <w:pPr>
              <w:ind w:left="200"/>
              <w:spacing w:after="0"/>
              <w:rPr>
                <w:sz w:val="20"/>
                <w:szCs w:val="20"/>
                <w:color w:val="auto"/>
              </w:rPr>
            </w:pPr>
            <w:r>
              <w:rPr>
                <w:rFonts w:ascii="Arial" w:cs="Arial" w:eastAsia="Arial" w:hAnsi="Arial"/>
                <w:sz w:val="16"/>
                <w:szCs w:val="16"/>
                <w:color w:val="auto"/>
              </w:rPr>
              <w:t>Fund</w:t>
            </w:r>
          </w:p>
        </w:tc>
        <w:tc>
          <w:tcPr>
            <w:tcW w:w="1340" w:type="dxa"/>
            <w:vAlign w:val="bottom"/>
            <w:gridSpan w:val="2"/>
          </w:tcPr>
          <w:p>
            <w:pPr>
              <w:jc w:val="center"/>
              <w:ind w:left="80"/>
              <w:spacing w:after="0"/>
              <w:rPr>
                <w:sz w:val="20"/>
                <w:szCs w:val="20"/>
                <w:color w:val="auto"/>
              </w:rPr>
            </w:pPr>
            <w:r>
              <w:rPr>
                <w:rFonts w:ascii="Arial" w:cs="Arial" w:eastAsia="Arial" w:hAnsi="Arial"/>
                <w:sz w:val="16"/>
                <w:szCs w:val="16"/>
                <w:color w:val="auto"/>
                <w:w w:val="90"/>
              </w:rPr>
              <w:t>51-6123713 001</w:t>
            </w:r>
          </w:p>
        </w:tc>
        <w:tc>
          <w:tcPr>
            <w:tcW w:w="14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w w:val="98"/>
              </w:rPr>
              <w:t>Green</w:t>
            </w:r>
          </w:p>
        </w:tc>
        <w:tc>
          <w:tcPr>
            <w:tcW w:w="1000" w:type="dxa"/>
            <w:vAlign w:val="bottom"/>
            <w:gridSpan w:val="2"/>
          </w:tcPr>
          <w:p>
            <w:pPr>
              <w:jc w:val="center"/>
              <w:ind w:left="121"/>
              <w:spacing w:after="0"/>
              <w:rPr>
                <w:sz w:val="20"/>
                <w:szCs w:val="20"/>
                <w:color w:val="auto"/>
              </w:rPr>
            </w:pPr>
            <w:r>
              <w:rPr>
                <w:rFonts w:ascii="Arial" w:cs="Arial" w:eastAsia="Arial" w:hAnsi="Arial"/>
                <w:sz w:val="16"/>
                <w:szCs w:val="16"/>
                <w:color w:val="auto"/>
                <w:w w:val="89"/>
              </w:rPr>
              <w:t>6/30/2016</w:t>
            </w:r>
          </w:p>
        </w:tc>
        <w:tc>
          <w:tcPr>
            <w:tcW w:w="16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w w:val="98"/>
              </w:rPr>
              <w:t>Green</w:t>
            </w:r>
          </w:p>
        </w:tc>
        <w:tc>
          <w:tcPr>
            <w:tcW w:w="1020" w:type="dxa"/>
            <w:vAlign w:val="bottom"/>
            <w:gridSpan w:val="2"/>
          </w:tcPr>
          <w:p>
            <w:pPr>
              <w:jc w:val="center"/>
              <w:ind w:left="120"/>
              <w:spacing w:after="0"/>
              <w:rPr>
                <w:sz w:val="20"/>
                <w:szCs w:val="20"/>
                <w:color w:val="auto"/>
              </w:rPr>
            </w:pPr>
            <w:r>
              <w:rPr>
                <w:rFonts w:ascii="Arial" w:cs="Arial" w:eastAsia="Arial" w:hAnsi="Arial"/>
                <w:sz w:val="16"/>
                <w:szCs w:val="16"/>
                <w:color w:val="auto"/>
                <w:w w:val="92"/>
              </w:rPr>
              <w:t>6/30/2015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IBEW Local 769 Management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Plan</w:t>
            </w:r>
          </w:p>
        </w:tc>
        <w:tc>
          <w:tcPr>
            <w:tcW w:w="134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90"/>
              </w:rPr>
              <w:t>86-6049763 001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Green</w:t>
            </w:r>
          </w:p>
        </w:tc>
        <w:tc>
          <w:tcPr>
            <w:tcW w:w="1000" w:type="dxa"/>
            <w:vAlign w:val="bottom"/>
            <w:gridSpan w:val="2"/>
            <w:shd w:val="clear" w:color="auto" w:fill="CCEEFF"/>
          </w:tcPr>
          <w:p>
            <w:pPr>
              <w:jc w:val="center"/>
              <w:ind w:left="121"/>
              <w:spacing w:after="0"/>
              <w:rPr>
                <w:sz w:val="20"/>
                <w:szCs w:val="20"/>
                <w:color w:val="auto"/>
              </w:rPr>
            </w:pPr>
            <w:r>
              <w:rPr>
                <w:rFonts w:ascii="Arial" w:cs="Arial" w:eastAsia="Arial" w:hAnsi="Arial"/>
                <w:sz w:val="16"/>
                <w:szCs w:val="16"/>
                <w:color w:val="auto"/>
                <w:w w:val="89"/>
              </w:rPr>
              <w:t>6/30/2016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Green</w:t>
            </w:r>
          </w:p>
        </w:tc>
        <w:tc>
          <w:tcPr>
            <w:tcW w:w="1020" w:type="dxa"/>
            <w:vAlign w:val="bottom"/>
            <w:gridSpan w:val="2"/>
            <w:shd w:val="clear" w:color="auto" w:fill="CCEEFF"/>
          </w:tcPr>
          <w:p>
            <w:pPr>
              <w:jc w:val="center"/>
              <w:ind w:left="120"/>
              <w:spacing w:after="0"/>
              <w:rPr>
                <w:sz w:val="20"/>
                <w:szCs w:val="20"/>
                <w:color w:val="auto"/>
              </w:rPr>
            </w:pPr>
            <w:r>
              <w:rPr>
                <w:rFonts w:ascii="Arial" w:cs="Arial" w:eastAsia="Arial" w:hAnsi="Arial"/>
                <w:sz w:val="16"/>
                <w:szCs w:val="16"/>
                <w:color w:val="auto"/>
                <w:w w:val="92"/>
              </w:rPr>
              <w:t>6/30/2015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No</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201"/>
        </w:trPr>
        <w:tc>
          <w:tcPr>
            <w:tcW w:w="2400" w:type="dxa"/>
            <w:vAlign w:val="bottom"/>
          </w:tcPr>
          <w:p>
            <w:pPr>
              <w:ind w:left="20"/>
              <w:spacing w:after="0"/>
              <w:rPr>
                <w:sz w:val="20"/>
                <w:szCs w:val="20"/>
                <w:color w:val="auto"/>
              </w:rPr>
            </w:pPr>
            <w:r>
              <w:rPr>
                <w:rFonts w:ascii="Arial" w:cs="Arial" w:eastAsia="Arial" w:hAnsi="Arial"/>
                <w:sz w:val="16"/>
                <w:szCs w:val="16"/>
                <w:color w:val="auto"/>
              </w:rPr>
              <w:t>IBEW Local 1249 Pension Plan</w:t>
            </w:r>
          </w:p>
        </w:tc>
        <w:tc>
          <w:tcPr>
            <w:tcW w:w="1340" w:type="dxa"/>
            <w:vAlign w:val="bottom"/>
            <w:gridSpan w:val="2"/>
          </w:tcPr>
          <w:p>
            <w:pPr>
              <w:jc w:val="center"/>
              <w:ind w:left="80"/>
              <w:spacing w:after="0"/>
              <w:rPr>
                <w:sz w:val="20"/>
                <w:szCs w:val="20"/>
                <w:color w:val="auto"/>
              </w:rPr>
            </w:pPr>
            <w:r>
              <w:rPr>
                <w:rFonts w:ascii="Arial" w:cs="Arial" w:eastAsia="Arial" w:hAnsi="Arial"/>
                <w:sz w:val="16"/>
                <w:szCs w:val="16"/>
                <w:color w:val="auto"/>
                <w:w w:val="90"/>
              </w:rPr>
              <w:t>15-6035161 001</w:t>
            </w:r>
          </w:p>
        </w:tc>
        <w:tc>
          <w:tcPr>
            <w:tcW w:w="14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6"/>
                <w:szCs w:val="16"/>
                <w:color w:val="auto"/>
              </w:rPr>
              <w:t>Yellow</w:t>
            </w:r>
          </w:p>
        </w:tc>
        <w:tc>
          <w:tcPr>
            <w:tcW w:w="1000" w:type="dxa"/>
            <w:vAlign w:val="bottom"/>
            <w:gridSpan w:val="2"/>
          </w:tcPr>
          <w:p>
            <w:pPr>
              <w:jc w:val="center"/>
              <w:ind w:left="121"/>
              <w:spacing w:after="0"/>
              <w:rPr>
                <w:sz w:val="20"/>
                <w:szCs w:val="20"/>
                <w:color w:val="auto"/>
              </w:rPr>
            </w:pPr>
            <w:r>
              <w:rPr>
                <w:rFonts w:ascii="Arial" w:cs="Arial" w:eastAsia="Arial" w:hAnsi="Arial"/>
                <w:sz w:val="16"/>
                <w:szCs w:val="16"/>
                <w:color w:val="auto"/>
                <w:w w:val="89"/>
              </w:rPr>
              <w:t>12/31/2016</w:t>
            </w:r>
          </w:p>
        </w:tc>
        <w:tc>
          <w:tcPr>
            <w:tcW w:w="16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6"/>
                <w:szCs w:val="16"/>
                <w:color w:val="auto"/>
              </w:rPr>
              <w:t>Yellow</w:t>
            </w:r>
          </w:p>
        </w:tc>
        <w:tc>
          <w:tcPr>
            <w:tcW w:w="1020" w:type="dxa"/>
            <w:vAlign w:val="bottom"/>
            <w:gridSpan w:val="2"/>
          </w:tcPr>
          <w:p>
            <w:pPr>
              <w:jc w:val="center"/>
              <w:ind w:left="120"/>
              <w:spacing w:after="0"/>
              <w:rPr>
                <w:sz w:val="20"/>
                <w:szCs w:val="20"/>
                <w:color w:val="auto"/>
              </w:rPr>
            </w:pPr>
            <w:r>
              <w:rPr>
                <w:rFonts w:ascii="Arial" w:cs="Arial" w:eastAsia="Arial" w:hAnsi="Arial"/>
                <w:sz w:val="16"/>
                <w:szCs w:val="16"/>
                <w:color w:val="auto"/>
                <w:w w:val="92"/>
              </w:rPr>
              <w:t>12/31/2015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2,042</w:t>
            </w: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79"/>
              </w:rPr>
              <w:t>Yes</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Defined Contribution Plans: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0" w:type="dxa"/>
            <w:vAlign w:val="bottom"/>
          </w:tcPr>
          <w:p>
            <w:pPr>
              <w:ind w:left="20"/>
              <w:spacing w:after="0"/>
              <w:rPr>
                <w:sz w:val="20"/>
                <w:szCs w:val="20"/>
                <w:color w:val="auto"/>
              </w:rPr>
            </w:pPr>
            <w:r>
              <w:rPr>
                <w:rFonts w:ascii="Arial" w:cs="Arial" w:eastAsia="Arial" w:hAnsi="Arial"/>
                <w:sz w:val="16"/>
                <w:szCs w:val="16"/>
                <w:color w:val="auto"/>
              </w:rPr>
              <w:t>National Electrical Annuity Plan</w:t>
            </w:r>
          </w:p>
        </w:tc>
        <w:tc>
          <w:tcPr>
            <w:tcW w:w="1340" w:type="dxa"/>
            <w:vAlign w:val="bottom"/>
            <w:gridSpan w:val="2"/>
          </w:tcPr>
          <w:p>
            <w:pPr>
              <w:jc w:val="center"/>
              <w:ind w:left="80"/>
              <w:spacing w:after="0"/>
              <w:rPr>
                <w:sz w:val="20"/>
                <w:szCs w:val="20"/>
                <w:color w:val="auto"/>
              </w:rPr>
            </w:pPr>
            <w:r>
              <w:rPr>
                <w:rFonts w:ascii="Arial" w:cs="Arial" w:eastAsia="Arial" w:hAnsi="Arial"/>
                <w:sz w:val="16"/>
                <w:szCs w:val="16"/>
                <w:color w:val="auto"/>
                <w:w w:val="90"/>
              </w:rPr>
              <w:t>52-6132372 001</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27,633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22,840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24,226</w:t>
            </w: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0"/>
              </w:rPr>
              <w:t>n/a</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0"/>
              </w:rPr>
              <w:t>n/a</w:t>
            </w: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Eighth District Electrical Pension</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Fund Annuity Plan</w:t>
            </w:r>
          </w:p>
        </w:tc>
        <w:tc>
          <w:tcPr>
            <w:tcW w:w="134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90"/>
              </w:rPr>
              <w:t>84-6100393 002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n/a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n/a</w:t>
            </w:r>
          </w:p>
        </w:tc>
        <w:tc>
          <w:tcPr>
            <w:tcW w:w="0" w:type="dxa"/>
            <w:vAlign w:val="bottom"/>
          </w:tcPr>
          <w:p>
            <w:pPr>
              <w:spacing w:after="0"/>
              <w:rPr>
                <w:sz w:val="1"/>
                <w:szCs w:val="1"/>
                <w:color w:val="auto"/>
              </w:rPr>
            </w:pPr>
          </w:p>
        </w:tc>
      </w:tr>
      <w:tr>
        <w:trPr>
          <w:trHeight w:val="20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All other plans: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9,751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6,479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7,954</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Contributions: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64,888</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53,796</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52,686</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60" w:right="20" w:firstLine="268"/>
        <w:spacing w:after="0" w:line="260" w:lineRule="auto"/>
        <w:rPr>
          <w:sz w:val="20"/>
          <w:szCs w:val="20"/>
          <w:color w:val="auto"/>
        </w:rPr>
      </w:pPr>
      <w:r>
        <w:rPr>
          <w:rFonts w:ascii="Arial" w:cs="Arial" w:eastAsia="Arial" w:hAnsi="Arial"/>
          <w:sz w:val="18"/>
          <w:szCs w:val="18"/>
          <w:color w:val="auto"/>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spacing w:after="0" w:line="78" w:lineRule="exact"/>
        <w:rPr>
          <w:sz w:val="20"/>
          <w:szCs w:val="20"/>
          <w:color w:val="auto"/>
        </w:rPr>
      </w:pPr>
    </w:p>
    <w:p>
      <w:pPr>
        <w:ind w:left="60" w:right="80" w:firstLine="268"/>
        <w:spacing w:after="0" w:line="254" w:lineRule="auto"/>
        <w:rPr>
          <w:sz w:val="20"/>
          <w:szCs w:val="20"/>
          <w:color w:val="auto"/>
        </w:rPr>
      </w:pPr>
      <w:r>
        <w:rPr>
          <w:rFonts w:ascii="Arial" w:cs="Arial" w:eastAsia="Arial" w:hAnsi="Arial"/>
          <w:sz w:val="18"/>
          <w:szCs w:val="18"/>
          <w:color w:val="auto"/>
        </w:rPr>
        <w:t>One of the Company’s subsidiaries was listed in the Eighth District Electrical Pension Fund’s Form 5500 as providing more than 5 percent of the total contributions to that plan for the plan years ended March 31, 2017, 2016 and 2015 and the IBEW local 769 Management Pension Fund’s Form 5500 as providing more than 5 percent of the total contributions to that plan for the plan years ended June 30, 2016 and 2015. Another of the company’s subsidiaries was listed in the IBEW Local 1249 Pension Plan’s Form 5500 as providing more than 5 percent of the total contributions to that plan for the plan year ended December 31, 2015.</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Segment Information</w:t>
      </w:r>
    </w:p>
    <w:p>
      <w:pPr>
        <w:spacing w:after="0" w:line="119" w:lineRule="exact"/>
        <w:rPr>
          <w:sz w:val="20"/>
          <w:szCs w:val="20"/>
          <w:color w:val="auto"/>
        </w:rPr>
      </w:pPr>
    </w:p>
    <w:p>
      <w:pPr>
        <w:ind w:left="60" w:firstLine="268"/>
        <w:spacing w:after="0" w:line="271" w:lineRule="auto"/>
        <w:rPr>
          <w:sz w:val="20"/>
          <w:szCs w:val="20"/>
          <w:color w:val="auto"/>
        </w:rPr>
      </w:pPr>
      <w:r>
        <w:rPr>
          <w:rFonts w:ascii="Arial" w:cs="Arial" w:eastAsia="Arial" w:hAnsi="Arial"/>
          <w:sz w:val="17"/>
          <w:szCs w:val="17"/>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management fees, and intangible amortization. The accounting policies of the segments are the same as those described in the Summary of Significant Accounting Policies.</w:t>
      </w:r>
    </w:p>
    <w:p>
      <w:pPr>
        <w:spacing w:after="0" w:line="70" w:lineRule="exact"/>
        <w:rPr>
          <w:sz w:val="20"/>
          <w:szCs w:val="20"/>
          <w:color w:val="auto"/>
        </w:rPr>
      </w:pPr>
    </w:p>
    <w:p>
      <w:pPr>
        <w:ind w:left="60" w:right="40" w:firstLine="268"/>
        <w:spacing w:after="0" w:line="254" w:lineRule="auto"/>
        <w:rPr>
          <w:sz w:val="20"/>
          <w:szCs w:val="20"/>
          <w:color w:val="auto"/>
        </w:rPr>
      </w:pPr>
      <w:r>
        <w:rPr>
          <w:rFonts w:ascii="Arial" w:cs="Arial" w:eastAsia="Arial" w:hAnsi="Arial"/>
          <w:sz w:val="18"/>
          <w:szCs w:val="18"/>
          <w:i w:val="1"/>
          <w:iCs w:val="1"/>
          <w:color w:val="auto"/>
        </w:rPr>
        <w:t xml:space="preserve">Transmission and Distribution: </w:t>
      </w:r>
      <w:r>
        <w:rPr>
          <w:rFonts w:ascii="Arial" w:cs="Arial" w:eastAsia="Arial" w:hAnsi="Arial"/>
          <w:sz w:val="18"/>
          <w:szCs w:val="18"/>
          <w:color w:val="auto"/>
        </w:rPr>
        <w:t>The T&amp;D segment provides a broad range of services on electric transmission and distribution networks and substation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w:t>
      </w:r>
    </w:p>
    <w:p>
      <w:pPr>
        <w:spacing w:after="0" w:line="200" w:lineRule="exact"/>
        <w:rPr>
          <w:sz w:val="20"/>
          <w:szCs w:val="20"/>
          <w:color w:val="auto"/>
        </w:rPr>
      </w:pPr>
    </w:p>
    <w:p>
      <w:pPr>
        <w:spacing w:after="0" w:line="32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60" w:top="787" w:right="199" w:bottom="1440" w:gutter="0" w:footer="0" w:header="0"/>
        </w:sectPr>
      </w:pPr>
    </w:p>
    <w:bookmarkStart w:id="86" w:name="page87"/>
    <w:bookmarkEnd w:id="8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15. Segment Information – (continued)</w:t>
      </w:r>
    </w:p>
    <w:p>
      <w:pPr>
        <w:spacing w:after="0" w:line="119" w:lineRule="exact"/>
        <w:rPr>
          <w:sz w:val="20"/>
          <w:szCs w:val="20"/>
          <w:color w:val="auto"/>
        </w:rPr>
      </w:pPr>
    </w:p>
    <w:p>
      <w:pPr>
        <w:ind w:left="180" w:right="580"/>
        <w:spacing w:after="0" w:line="272" w:lineRule="auto"/>
        <w:rPr>
          <w:sz w:val="20"/>
          <w:szCs w:val="20"/>
          <w:color w:val="auto"/>
        </w:rPr>
      </w:pPr>
      <w:r>
        <w:rPr>
          <w:rFonts w:ascii="Arial" w:cs="Arial" w:eastAsia="Arial" w:hAnsi="Arial"/>
          <w:sz w:val="18"/>
          <w:szCs w:val="18"/>
          <w:color w:val="auto"/>
        </w:rPr>
        <w:t>customers include investor-owned utilities, cooperatives, private developers, government-funded utilities, independent power producers, independent transmission companies, industrial facility owners and other contractors.</w:t>
      </w:r>
    </w:p>
    <w:p>
      <w:pPr>
        <w:spacing w:after="0" w:line="67" w:lineRule="exact"/>
        <w:rPr>
          <w:sz w:val="20"/>
          <w:szCs w:val="20"/>
          <w:color w:val="auto"/>
        </w:rPr>
      </w:pPr>
    </w:p>
    <w:p>
      <w:pPr>
        <w:ind w:left="180" w:right="40" w:firstLine="268"/>
        <w:spacing w:after="0" w:line="291" w:lineRule="auto"/>
        <w:rPr>
          <w:sz w:val="20"/>
          <w:szCs w:val="20"/>
          <w:color w:val="auto"/>
        </w:rPr>
      </w:pPr>
      <w:r>
        <w:rPr>
          <w:rFonts w:ascii="Arial" w:cs="Arial" w:eastAsia="Arial" w:hAnsi="Arial"/>
          <w:sz w:val="16"/>
          <w:szCs w:val="16"/>
          <w:i w:val="1"/>
          <w:iCs w:val="1"/>
          <w:color w:val="auto"/>
        </w:rPr>
        <w:t xml:space="preserve">Commercial and Industrial: </w:t>
      </w:r>
      <w:r>
        <w:rPr>
          <w:rFonts w:ascii="Arial" w:cs="Arial" w:eastAsia="Arial" w:hAnsi="Arial"/>
          <w:sz w:val="16"/>
          <w:szCs w:val="16"/>
          <w:color w:val="auto"/>
        </w:rPr>
        <w:t>The C&amp;I segment provides services such as the design, installation, maintenance and repair of commercial and industrial</w:t>
      </w:r>
      <w:r>
        <w:rPr>
          <w:rFonts w:ascii="Arial" w:cs="Arial" w:eastAsia="Arial" w:hAnsi="Arial"/>
          <w:sz w:val="16"/>
          <w:szCs w:val="16"/>
          <w:i w:val="1"/>
          <w:iCs w:val="1"/>
          <w:color w:val="auto"/>
        </w:rPr>
        <w:t xml:space="preserve"> </w:t>
      </w:r>
      <w:r>
        <w:rPr>
          <w:rFonts w:ascii="Arial" w:cs="Arial" w:eastAsia="Arial" w:hAnsi="Arial"/>
          <w:sz w:val="16"/>
          <w:szCs w:val="16"/>
          <w:color w:val="auto"/>
        </w:rPr>
        <w:t>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C&amp;I segment services are generally performed in the western and northeastern United States and in western Canada.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 the following table is derived from the segment’s internal financial reports used for corporate management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25038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03805"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39370</wp:posOffset>
            </wp:positionV>
            <wp:extent cx="5791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912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39370</wp:posOffset>
            </wp:positionV>
            <wp:extent cx="1635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35125" cy="825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4"/>
              </w:rPr>
              <w:t>For the Year Ended December 31,</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195"/>
        </w:trPr>
        <w:tc>
          <w:tcPr>
            <w:tcW w:w="63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r>
      <w:tr>
        <w:trPr>
          <w:trHeight w:val="208"/>
        </w:trPr>
        <w:tc>
          <w:tcPr>
            <w:tcW w:w="6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Contract revenues:</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r>
      <w:tr>
        <w:trPr>
          <w:trHeight w:val="215"/>
        </w:trPr>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879,372</w:t>
            </w:r>
          </w:p>
        </w:tc>
        <w:tc>
          <w:tcPr>
            <w:tcW w:w="6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818,972</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794,898</w:t>
            </w:r>
          </w:p>
        </w:tc>
      </w:tr>
      <w:tr>
        <w:trPr>
          <w:trHeight w:val="215"/>
        </w:trPr>
        <w:tc>
          <w:tcPr>
            <w:tcW w:w="6380" w:type="dxa"/>
            <w:vAlign w:val="bottom"/>
            <w:gridSpan w:val="2"/>
          </w:tcPr>
          <w:p>
            <w:pPr>
              <w:ind w:left="200"/>
              <w:spacing w:after="0"/>
              <w:rPr>
                <w:sz w:val="20"/>
                <w:szCs w:val="20"/>
                <w:color w:val="auto"/>
              </w:rPr>
            </w:pPr>
            <w:r>
              <w:rPr>
                <w:rFonts w:ascii="Arial" w:cs="Arial" w:eastAsia="Arial" w:hAnsi="Arial"/>
                <w:sz w:val="18"/>
                <w:szCs w:val="18"/>
                <w:color w:val="auto"/>
              </w:rPr>
              <w:t>C&amp;I</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523,945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323,515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266,783</w:t>
            </w:r>
          </w:p>
        </w:tc>
      </w:tr>
      <w:tr>
        <w:trPr>
          <w:trHeight w:val="20"/>
        </w:trPr>
        <w:tc>
          <w:tcPr>
            <w:tcW w:w="6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8"/>
        </w:trPr>
        <w:tc>
          <w:tcPr>
            <w:tcW w:w="6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1,403,317</w:t>
            </w:r>
          </w:p>
        </w:tc>
        <w:tc>
          <w:tcPr>
            <w:tcW w:w="6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1,142,487</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1,061,681</w:t>
            </w:r>
          </w:p>
        </w:tc>
      </w:tr>
      <w:tr>
        <w:trPr>
          <w:trHeight w:val="208"/>
        </w:trPr>
        <w:tc>
          <w:tcPr>
            <w:tcW w:w="63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15"/>
        </w:trPr>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6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63,459</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63,155</w:t>
            </w:r>
          </w:p>
        </w:tc>
      </w:tr>
      <w:tr>
        <w:trPr>
          <w:trHeight w:val="215"/>
        </w:trPr>
        <w:tc>
          <w:tcPr>
            <w:tcW w:w="6380" w:type="dxa"/>
            <w:vAlign w:val="bottom"/>
            <w:gridSpan w:val="2"/>
          </w:tcPr>
          <w:p>
            <w:pPr>
              <w:ind w:left="200"/>
              <w:spacing w:after="0"/>
              <w:rPr>
                <w:sz w:val="20"/>
                <w:szCs w:val="20"/>
                <w:color w:val="auto"/>
              </w:rPr>
            </w:pPr>
            <w:r>
              <w:rPr>
                <w:rFonts w:ascii="Arial" w:cs="Arial" w:eastAsia="Arial" w:hAnsi="Arial"/>
                <w:sz w:val="18"/>
                <w:szCs w:val="18"/>
                <w:color w:val="auto"/>
              </w:rPr>
              <w:t>C&amp;I</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13,920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13,592</w:t>
            </w:r>
          </w:p>
        </w:tc>
      </w:tr>
      <w:tr>
        <w:trPr>
          <w:trHeight w:val="215"/>
        </w:trPr>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Corporate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(35,121)</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(38,625)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(31,906)</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29,558</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38,754</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44,841</w:t>
            </w:r>
          </w:p>
        </w:tc>
      </w:tr>
      <w:tr>
        <w:trPr>
          <w:trHeight w:val="20"/>
        </w:trPr>
        <w:tc>
          <w:tcPr>
            <w:tcW w:w="6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-757555</wp:posOffset>
            </wp:positionV>
            <wp:extent cx="7026275" cy="1701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-178435</wp:posOffset>
            </wp:positionV>
            <wp:extent cx="7026275" cy="1790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73" w:lineRule="exact"/>
        <w:rPr>
          <w:sz w:val="20"/>
          <w:szCs w:val="20"/>
          <w:color w:val="auto"/>
        </w:rPr>
      </w:pPr>
    </w:p>
    <w:p>
      <w:pPr>
        <w:ind w:left="180" w:right="480" w:firstLine="268"/>
        <w:spacing w:after="0" w:line="308" w:lineRule="auto"/>
        <w:rPr>
          <w:sz w:val="20"/>
          <w:szCs w:val="20"/>
          <w:color w:val="auto"/>
        </w:rPr>
      </w:pPr>
      <w:r>
        <w:rPr>
          <w:rFonts w:ascii="Arial" w:cs="Arial" w:eastAsia="Arial" w:hAnsi="Arial"/>
          <w:sz w:val="16"/>
          <w:szCs w:val="16"/>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costs and estimated earnings in excess of billings on uncompleted contracts, construction materials inventory, goodwill and intangibles for each segment are as follows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-5715</wp:posOffset>
            </wp:positionV>
            <wp:extent cx="34067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0677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-5715</wp:posOffset>
            </wp:positionV>
            <wp:extent cx="13709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T&amp;D</w:t>
            </w:r>
          </w:p>
        </w:tc>
        <w:tc>
          <w:tcPr>
            <w:tcW w:w="532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257,834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235,548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C&amp;I</w:t>
            </w: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152,207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125,696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212,251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060" w:type="dxa"/>
            <w:vAlign w:val="bottom"/>
            <w:gridSpan w:val="2"/>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603,788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573,495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900" w:type="dxa"/>
            <w:vAlign w:val="bottom"/>
            <w:vMerge w:val="restart"/>
          </w:tcPr>
          <w:p>
            <w:pPr>
              <w:jc w:val="right"/>
              <w:ind w:right="2551"/>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3420" w:type="dxa"/>
            <w:vAlign w:val="bottom"/>
            <w:tcBorders>
              <w:bottom w:val="single" w:sz="8" w:color="9A9A9A"/>
            </w:tcBorders>
          </w:tcPr>
          <w:p>
            <w:pPr>
              <w:spacing w:after="0"/>
              <w:rPr>
                <w:sz w:val="14"/>
                <w:szCs w:val="14"/>
                <w:color w:val="auto"/>
              </w:rPr>
            </w:pPr>
          </w:p>
        </w:tc>
        <w:tc>
          <w:tcPr>
            <w:tcW w:w="4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4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-808355</wp:posOffset>
            </wp:positionV>
            <wp:extent cx="7026275" cy="1790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26275" cy="17907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87" w:name="page88"/>
    <w:bookmarkEnd w:id="8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340" w:hanging="274"/>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 (continued)</w:t>
      </w:r>
    </w:p>
    <w:p>
      <w:pPr>
        <w:spacing w:after="0" w:line="11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An allocation of total depreciation, including depreciation of shared construction equipment, and amortization to each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6060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46990</wp:posOffset>
            </wp:positionV>
            <wp:extent cx="24269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2697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For the Year Ended December 31,</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95"/>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8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r>
      <w:tr>
        <w:trPr>
          <w:trHeight w:val="208"/>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r>
      <w:tr>
        <w:trPr>
          <w:trHeight w:val="215"/>
        </w:trPr>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34,990</w:t>
            </w:r>
          </w:p>
        </w:tc>
        <w:tc>
          <w:tcPr>
            <w:tcW w:w="4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35,947</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35,456</w:t>
            </w:r>
          </w:p>
        </w:tc>
      </w:tr>
      <w:tr>
        <w:trPr>
          <w:trHeight w:val="215"/>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C&amp;I</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2,573</w:t>
            </w:r>
          </w:p>
        </w:tc>
      </w:tr>
      <w:tr>
        <w:trPr>
          <w:trHeight w:val="20"/>
        </w:trPr>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6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39,122</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38,029</w:t>
            </w: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60" w:right="100" w:firstLine="268"/>
        <w:spacing w:after="0" w:line="294" w:lineRule="auto"/>
        <w:rPr>
          <w:sz w:val="20"/>
          <w:szCs w:val="20"/>
          <w:color w:val="auto"/>
        </w:rPr>
      </w:pPr>
      <w:r>
        <w:rPr>
          <w:rFonts w:ascii="Arial" w:cs="Arial" w:eastAsia="Arial" w:hAnsi="Arial"/>
          <w:sz w:val="16"/>
          <w:szCs w:val="16"/>
          <w:color w:val="auto"/>
        </w:rPr>
        <w:t>For the year ended December 31, 2017, the Company had Canadian contract revenues of $84.1 million, of which $18.7 million and $65.4 million is attributable to the T&amp;D and C&amp;I segments, respectively. For the year ended December 31, 2016, the Company had Canadian contract revenues of $36.5 million, of which $26.9 million and $9.6 million is attributable to the T&amp;D and C&amp;I segments, respectively. For the year ended December 31, 2015, the Company had Canadian contract revenues of $1.5 million, of which $1.4 million and $0.1 million is attributable to the T&amp;D and C&amp;I segments, respectively. As of December 31, 2017 and 2016, there were $40.0 million and $45.5 million, respectively, of identifiable assets attributable to Canadian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w:t>
      </w:r>
    </w:p>
    <w:p>
      <w:pPr>
        <w:spacing w:after="0" w:line="119" w:lineRule="exact"/>
        <w:rPr>
          <w:sz w:val="20"/>
          <w:szCs w:val="20"/>
          <w:color w:val="auto"/>
        </w:rPr>
      </w:pPr>
    </w:p>
    <w:p>
      <w:pPr>
        <w:ind w:left="60" w:firstLine="268"/>
        <w:spacing w:after="0" w:line="256" w:lineRule="auto"/>
        <w:rPr>
          <w:sz w:val="20"/>
          <w:szCs w:val="20"/>
          <w:color w:val="auto"/>
        </w:rPr>
      </w:pPr>
      <w:r>
        <w:rPr>
          <w:rFonts w:ascii="Arial" w:cs="Arial" w:eastAsia="Arial" w:hAnsi="Arial"/>
          <w:sz w:val="18"/>
          <w:szCs w:val="18"/>
          <w:color w:val="auto"/>
        </w:rPr>
        <w:t>The Company computes earnings per share using the treasury stock method. Under the treasury stock method, basic earnings per share are computed by dividing net income by the weighted average number of common shares outstanding during the period.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spacing w:after="0" w:line="83" w:lineRule="exact"/>
        <w:rPr>
          <w:sz w:val="20"/>
          <w:szCs w:val="20"/>
          <w:color w:val="auto"/>
        </w:rPr>
      </w:pPr>
    </w:p>
    <w:p>
      <w:pPr>
        <w:ind w:left="60" w:right="120" w:firstLine="268"/>
        <w:spacing w:after="0" w:line="272" w:lineRule="auto"/>
        <w:rPr>
          <w:sz w:val="20"/>
          <w:szCs w:val="20"/>
          <w:color w:val="auto"/>
        </w:rPr>
      </w:pPr>
      <w:r>
        <w:rPr>
          <w:rFonts w:ascii="Arial" w:cs="Arial" w:eastAsia="Arial" w:hAnsi="Arial"/>
          <w:sz w:val="18"/>
          <w:szCs w:val="18"/>
          <w:color w:val="auto"/>
        </w:rPr>
        <w:t>Net income available to common shareholders and the weighted average number of common shares used to compute basic and diluted earnings per share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425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42565" cy="8255"/>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9525</wp:posOffset>
            </wp:positionV>
            <wp:extent cx="4940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4030" cy="8255"/>
                    </a:xfrm>
                    <a:prstGeom prst="rect">
                      <a:avLst/>
                    </a:prstGeom>
                    <a:noFill/>
                  </pic:spPr>
                </pic:pic>
              </a:graphicData>
            </a:graphic>
          </wp:anchor>
        </w:drawing>
        <w:drawing>
          <wp:anchor simplePos="0" relativeHeight="251657728" behindDoc="1" locked="0" layoutInCell="0" allowOverlap="1">
            <wp:simplePos x="0" y="0"/>
            <wp:positionH relativeFrom="column">
              <wp:posOffset>5344795</wp:posOffset>
            </wp:positionH>
            <wp:positionV relativeFrom="paragraph">
              <wp:posOffset>9525</wp:posOffset>
            </wp:positionV>
            <wp:extent cx="1405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95"/>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6"/>
                <w:szCs w:val="16"/>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6"/>
                <w:szCs w:val="16"/>
                <w:color w:val="auto"/>
              </w:rPr>
            </w:pPr>
          </w:p>
        </w:tc>
      </w:tr>
      <w:tr>
        <w:trPr>
          <w:trHeight w:val="208"/>
        </w:trPr>
        <w:tc>
          <w:tcPr>
            <w:tcW w:w="69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r>
      <w:tr>
        <w:trPr>
          <w:trHeight w:val="215"/>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21,431</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27,302</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20,577</w:t>
            </w:r>
          </w:p>
        </w:tc>
      </w:tr>
      <w:tr>
        <w:trPr>
          <w:trHeight w:val="215"/>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Weighted average dilutive securities</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21,038</w:t>
            </w:r>
          </w:p>
        </w:tc>
      </w:tr>
      <w:tr>
        <w:trPr>
          <w:trHeight w:val="20"/>
        </w:trPr>
        <w:tc>
          <w:tcPr>
            <w:tcW w:w="6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8"/>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Income per common share, basic</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r>
      <w:tr>
        <w:trPr>
          <w:trHeight w:val="215"/>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 diluted</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026275" cy="1701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26275" cy="170180"/>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Results for the year ended December 31, 2017 included a net Tax Act benefit of $7.8 million, or $0.48 and $0.47 per basic and diluted share, respectively.</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further discussion in Note 10 — Income Taxes to our Financial Statements.</w:t>
      </w:r>
    </w:p>
    <w:p>
      <w:pPr>
        <w:spacing w:after="0" w:line="102" w:lineRule="exact"/>
        <w:rPr>
          <w:sz w:val="20"/>
          <w:szCs w:val="20"/>
          <w:color w:val="auto"/>
        </w:rPr>
      </w:pPr>
    </w:p>
    <w:p>
      <w:pPr>
        <w:ind w:left="60" w:right="420" w:firstLine="268"/>
        <w:spacing w:after="0" w:line="256" w:lineRule="auto"/>
        <w:rPr>
          <w:sz w:val="20"/>
          <w:szCs w:val="20"/>
          <w:color w:val="auto"/>
        </w:rPr>
      </w:pPr>
      <w:r>
        <w:rPr>
          <w:rFonts w:ascii="Arial" w:cs="Arial" w:eastAsia="Arial" w:hAnsi="Arial"/>
          <w:sz w:val="18"/>
          <w:szCs w:val="18"/>
          <w:color w:val="auto"/>
        </w:rPr>
        <w:t>For the years ended December 31, 2017, 2016 and 2015,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 The following table</w:t>
      </w: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MYR GROUP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 – (continued)</w:t>
      </w:r>
    </w:p>
    <w:p>
      <w:pPr>
        <w:spacing w:after="0" w:line="119" w:lineRule="exact"/>
        <w:rPr>
          <w:sz w:val="20"/>
          <w:szCs w:val="20"/>
          <w:color w:val="auto"/>
        </w:rPr>
      </w:pPr>
    </w:p>
    <w:p>
      <w:pPr>
        <w:ind w:left="60" w:right="140"/>
        <w:spacing w:after="0" w:line="272" w:lineRule="auto"/>
        <w:rPr>
          <w:sz w:val="20"/>
          <w:szCs w:val="20"/>
          <w:color w:val="auto"/>
        </w:rPr>
      </w:pPr>
      <w:r>
        <w:rPr>
          <w:rFonts w:ascii="Arial" w:cs="Arial" w:eastAsia="Arial" w:hAnsi="Arial"/>
          <w:sz w:val="18"/>
          <w:szCs w:val="18"/>
          <w:color w:val="auto"/>
        </w:rPr>
        <w:t>summarizes the shares of common stock underlying the Company’s unvested stock options and performance awards that were excluded from the calculation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0149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014980"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9525</wp:posOffset>
            </wp:positionV>
            <wp:extent cx="1788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5"/>
        </w:trPr>
        <w:tc>
          <w:tcPr>
            <w:tcW w:w="7820" w:type="dxa"/>
            <w:vAlign w:val="bottom"/>
          </w:tcPr>
          <w:p>
            <w:pPr>
              <w:ind w:left="20"/>
              <w:spacing w:after="0"/>
              <w:rPr>
                <w:sz w:val="20"/>
                <w:szCs w:val="20"/>
                <w:color w:val="auto"/>
              </w:rPr>
            </w:pPr>
            <w:r>
              <w:rPr>
                <w:rFonts w:ascii="Arial" w:cs="Arial" w:eastAsia="Arial" w:hAnsi="Arial"/>
                <w:sz w:val="18"/>
                <w:szCs w:val="18"/>
                <w:color w:val="auto"/>
              </w:rPr>
              <w:t>Time-vested stock awards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awards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0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63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ind w:left="60" w:right="60" w:firstLine="268"/>
        <w:spacing w:after="0" w:line="291" w:lineRule="auto"/>
        <w:rPr>
          <w:sz w:val="20"/>
          <w:szCs w:val="20"/>
          <w:color w:val="auto"/>
        </w:rPr>
      </w:pPr>
      <w:r>
        <w:rPr>
          <w:rFonts w:ascii="Arial" w:cs="Arial" w:eastAsia="Arial" w:hAnsi="Arial"/>
          <w:sz w:val="16"/>
          <w:szCs w:val="16"/>
          <w:color w:val="auto"/>
        </w:rPr>
        <w:t>On July 27, 2017, the Board of Directors approved a new $20.0 million repurchase program (Repurchase Program) that began at the expiration of the existing program. The Repurchase Program will continue in effect through August 15, 2018, or until the authorized funds are exhausted. During 2017, the Company repurchased 92,987 shares of its common stock at a weighted-average price of $32.90 per share; 35,338 of those shares were purchased under its Repurchase Program for approximately $0.8 million. Additionally, the Company repurchased 57,649 shares of stock, for approximately $2.2 million, from its employees to satisfy tax obligations on shares vested under the 2007 Plan. All of the shares repurchased were retired and returned to authorized but unissued stock. The remaining availability to purchase shares under the Repurchase Program was $19.3 million as of December 31, 2017.</w:t>
      </w:r>
    </w:p>
    <w:p>
      <w:pPr>
        <w:spacing w:after="0" w:line="93" w:lineRule="exact"/>
        <w:rPr>
          <w:sz w:val="20"/>
          <w:szCs w:val="20"/>
          <w:color w:val="auto"/>
        </w:rPr>
      </w:pPr>
    </w:p>
    <w:p>
      <w:pPr>
        <w:ind w:left="340" w:hanging="274"/>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1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unaudited consolidated operating results by quarter 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507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50770" cy="825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39370</wp:posOffset>
            </wp:positionV>
            <wp:extent cx="32277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2770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95"/>
        </w:trPr>
        <w:tc>
          <w:tcPr>
            <w:tcW w:w="558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6"/>
                <w:szCs w:val="16"/>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2"/>
              <w:spacing w:after="0" w:line="194" w:lineRule="exact"/>
              <w:rPr>
                <w:sz w:val="20"/>
                <w:szCs w:val="20"/>
                <w:color w:val="auto"/>
              </w:rPr>
            </w:pPr>
            <w:r>
              <w:rPr>
                <w:rFonts w:ascii="Arial" w:cs="Arial" w:eastAsia="Arial" w:hAnsi="Arial"/>
                <w:sz w:val="14"/>
                <w:szCs w:val="14"/>
                <w:b w:val="1"/>
                <w:bCs w:val="1"/>
                <w:color w:val="auto"/>
                <w:w w:val="93"/>
              </w:rPr>
              <w:t>December 31,</w:t>
            </w:r>
            <w:r>
              <w:rPr>
                <w:rFonts w:ascii="Arial" w:cs="Arial" w:eastAsia="Arial" w:hAnsi="Arial"/>
                <w:sz w:val="22"/>
                <w:szCs w:val="22"/>
                <w:b w:val="1"/>
                <w:bCs w:val="1"/>
                <w:color w:val="auto"/>
                <w:w w:val="93"/>
                <w:vertAlign w:val="superscript"/>
              </w:rPr>
              <w:t>(a)</w:t>
            </w:r>
          </w:p>
        </w:tc>
      </w:tr>
      <w:tr>
        <w:trPr>
          <w:trHeight w:val="208"/>
        </w:trPr>
        <w:tc>
          <w:tcPr>
            <w:tcW w:w="9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2017:</w:t>
            </w:r>
          </w:p>
        </w:tc>
        <w:tc>
          <w:tcPr>
            <w:tcW w:w="4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300,129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356,185</w:t>
            </w:r>
          </w:p>
        </w:tc>
        <w:tc>
          <w:tcPr>
            <w:tcW w:w="3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373,502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373,501</w:t>
            </w:r>
          </w:p>
        </w:tc>
      </w:tr>
      <w:tr>
        <w:trPr>
          <w:trHeight w:val="215"/>
        </w:trPr>
        <w:tc>
          <w:tcPr>
            <w:tcW w:w="20" w:type="dxa"/>
            <w:vAlign w:val="bottom"/>
          </w:tcPr>
          <w:p>
            <w:pPr>
              <w:spacing w:after="0"/>
              <w:rPr>
                <w:sz w:val="18"/>
                <w:szCs w:val="18"/>
                <w:color w:val="auto"/>
              </w:rPr>
            </w:pPr>
          </w:p>
        </w:tc>
        <w:tc>
          <w:tcPr>
            <w:tcW w:w="556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25,740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34,853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36,894</w:t>
            </w:r>
          </w:p>
        </w:tc>
      </w:tr>
      <w:tr>
        <w:trPr>
          <w:trHeight w:val="215"/>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13,579</w:t>
            </w:r>
          </w:p>
        </w:tc>
      </w:tr>
      <w:tr>
        <w:trPr>
          <w:trHeight w:val="215"/>
        </w:trPr>
        <w:tc>
          <w:tcPr>
            <w:tcW w:w="20" w:type="dxa"/>
            <w:vAlign w:val="bottom"/>
          </w:tcPr>
          <w:p>
            <w:pPr>
              <w:spacing w:after="0"/>
              <w:rPr>
                <w:sz w:val="18"/>
                <w:szCs w:val="18"/>
                <w:color w:val="auto"/>
              </w:rPr>
            </w:pPr>
          </w:p>
        </w:tc>
        <w:tc>
          <w:tcPr>
            <w:tcW w:w="5560" w:type="dxa"/>
            <w:vAlign w:val="bottom"/>
            <w:gridSpan w:val="3"/>
          </w:tcPr>
          <w:p>
            <w:pPr>
              <w:ind w:left="18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center"/>
              <w:ind w:left="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0.83</w:t>
            </w:r>
          </w:p>
        </w:tc>
      </w:tr>
      <w:tr>
        <w:trPr>
          <w:trHeight w:val="215"/>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r>
      <w:tr>
        <w:trPr>
          <w:trHeight w:val="215"/>
        </w:trPr>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2016:</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253,634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261,934</w:t>
            </w:r>
          </w:p>
        </w:tc>
        <w:tc>
          <w:tcPr>
            <w:tcW w:w="3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283,259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343,660</w:t>
            </w:r>
          </w:p>
        </w:tc>
      </w:tr>
      <w:tr>
        <w:trPr>
          <w:trHeight w:val="215"/>
        </w:trPr>
        <w:tc>
          <w:tcPr>
            <w:tcW w:w="20" w:type="dxa"/>
            <w:vAlign w:val="bottom"/>
          </w:tcPr>
          <w:p>
            <w:pPr>
              <w:spacing w:after="0"/>
              <w:rPr>
                <w:sz w:val="18"/>
                <w:szCs w:val="18"/>
                <w:color w:val="auto"/>
              </w:rPr>
            </w:pPr>
          </w:p>
        </w:tc>
        <w:tc>
          <w:tcPr>
            <w:tcW w:w="556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27,281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34,063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41,944</w:t>
            </w:r>
          </w:p>
        </w:tc>
      </w:tr>
      <w:tr>
        <w:trPr>
          <w:trHeight w:val="215"/>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7,798</w:t>
            </w:r>
          </w:p>
        </w:tc>
      </w:tr>
      <w:tr>
        <w:trPr>
          <w:trHeight w:val="215"/>
        </w:trPr>
        <w:tc>
          <w:tcPr>
            <w:tcW w:w="20" w:type="dxa"/>
            <w:vAlign w:val="bottom"/>
          </w:tcPr>
          <w:p>
            <w:pPr>
              <w:spacing w:after="0"/>
              <w:rPr>
                <w:sz w:val="18"/>
                <w:szCs w:val="18"/>
                <w:color w:val="auto"/>
              </w:rPr>
            </w:pPr>
          </w:p>
        </w:tc>
        <w:tc>
          <w:tcPr>
            <w:tcW w:w="5560" w:type="dxa"/>
            <w:vAlign w:val="bottom"/>
            <w:gridSpan w:val="3"/>
          </w:tcPr>
          <w:p>
            <w:pPr>
              <w:ind w:left="18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0.32</w:t>
            </w:r>
          </w:p>
        </w:tc>
        <w:tc>
          <w:tcPr>
            <w:tcW w:w="320" w:type="dxa"/>
            <w:vAlign w:val="bottom"/>
            <w:gridSpan w:val="2"/>
          </w:tcPr>
          <w:p>
            <w:pPr>
              <w:jc w:val="center"/>
              <w:ind w:left="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0.49</w:t>
            </w:r>
          </w:p>
        </w:tc>
      </w:tr>
      <w:tr>
        <w:trPr>
          <w:trHeight w:val="215"/>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0.48</w:t>
            </w:r>
          </w:p>
        </w:tc>
      </w:tr>
      <w:tr>
        <w:trPr>
          <w:trHeight w:val="268"/>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54" w:lineRule="exact"/>
        <w:rPr>
          <w:sz w:val="20"/>
          <w:szCs w:val="20"/>
          <w:color w:val="auto"/>
        </w:rPr>
      </w:pPr>
    </w:p>
    <w:p>
      <w:pPr>
        <w:ind w:left="300" w:hanging="274"/>
        <w:spacing w:after="0" w:line="272"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for the fourth quarter of 2017 include a net Tax Act benefit of $7.8 million, or $0.48 and $0.47 per basic and diluted share, respectively. See further discussion in Note 10 — Income Taxes to our Financial Statements.</w:t>
      </w:r>
    </w:p>
    <w:p>
      <w:pPr>
        <w:spacing w:after="0" w:line="67" w:lineRule="exact"/>
        <w:rPr>
          <w:sz w:val="20"/>
          <w:szCs w:val="20"/>
          <w:color w:val="auto"/>
        </w:rPr>
      </w:pPr>
    </w:p>
    <w:p>
      <w:pPr>
        <w:ind w:left="60" w:right="140" w:firstLine="268"/>
        <w:spacing w:after="0" w:line="336" w:lineRule="auto"/>
        <w:rPr>
          <w:sz w:val="20"/>
          <w:szCs w:val="20"/>
          <w:color w:val="auto"/>
        </w:rPr>
      </w:pPr>
      <w:r>
        <w:rPr>
          <w:rFonts w:ascii="Arial" w:cs="Arial" w:eastAsia="Arial" w:hAnsi="Arial"/>
          <w:sz w:val="16"/>
          <w:szCs w:val="16"/>
          <w:color w:val="auto"/>
        </w:rPr>
        <w:t>Earnings per share amounts for each quarter are required to be computed independently using the weighted average number of shares outstanding during the period. As a result, the sum of the individual quarterly earnings per share amounts may not agree to the earnings per share calculated for the year.</w:t>
      </w:r>
    </w:p>
    <w:p>
      <w:pPr>
        <w:spacing w:after="0" w:line="200" w:lineRule="exact"/>
        <w:rPr>
          <w:sz w:val="20"/>
          <w:szCs w:val="20"/>
          <w:color w:val="auto"/>
        </w:rPr>
      </w:pPr>
    </w:p>
    <w:p>
      <w:pPr>
        <w:spacing w:after="0" w:line="26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ind w:left="40" w:right="100" w:firstLine="26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83" w:lineRule="exact"/>
        <w:rPr>
          <w:sz w:val="20"/>
          <w:szCs w:val="20"/>
          <w:color w:val="auto"/>
        </w:rPr>
      </w:pPr>
    </w:p>
    <w:p>
      <w:pPr>
        <w:ind w:left="40" w:right="140" w:firstLine="268"/>
        <w:spacing w:after="0" w:line="276" w:lineRule="auto"/>
        <w:rPr>
          <w:sz w:val="20"/>
          <w:szCs w:val="20"/>
          <w:color w:val="auto"/>
        </w:rPr>
      </w:pPr>
      <w:r>
        <w:rPr>
          <w:rFonts w:ascii="Arial" w:cs="Arial" w:eastAsia="Arial" w:hAnsi="Arial"/>
          <w:sz w:val="17"/>
          <w:szCs w:val="17"/>
          <w:color w:val="auto"/>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2017.</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Internal Control over Financial Reporting</w:t>
      </w:r>
    </w:p>
    <w:p>
      <w:pPr>
        <w:spacing w:after="0" w:line="115" w:lineRule="exact"/>
        <w:rPr>
          <w:sz w:val="20"/>
          <w:szCs w:val="20"/>
          <w:color w:val="auto"/>
        </w:rPr>
      </w:pPr>
    </w:p>
    <w:p>
      <w:pPr>
        <w:ind w:left="40" w:right="140" w:firstLine="268"/>
        <w:spacing w:after="0" w:line="271"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(2013) issued by the Committee of Sponsoring Organizations of the Treadway Commission. Management’s annual report on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over financial reporting and the report of our independent registered public accounting firm appear in Part II, Item 8 “Financial Statements and Supplementary Data” of this Annual Report on Form 10-K.</w:t>
      </w:r>
    </w:p>
    <w:p>
      <w:pPr>
        <w:spacing w:after="0" w:line="70"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This Annual Report on Form 10-K includes a report of management’s assessment regarding internal control over financial reporting (see “Management’s Report on Internal Control over Financial Reporting”) and an attestation report of our independent registered public accounting firm regarding internal control over financial reporting (see “Report of Independent Registered Public Accounting Firm”).</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left="40" w:right="500" w:firstLine="268"/>
        <w:spacing w:after="0" w:line="272"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ended December 31, 2017 that have materially affected, or that are reasonably likely to materially affect, our internal control over financial reporting.</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5" w:lineRule="exact"/>
        <w:rPr>
          <w:sz w:val="20"/>
          <w:szCs w:val="20"/>
          <w:color w:val="auto"/>
        </w:rPr>
      </w:pPr>
    </w:p>
    <w:p>
      <w:pPr>
        <w:ind w:left="40" w:right="100" w:firstLine="268"/>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detect or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31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Over time, controls may become inadequate because of changes in conditions, or the degree of compliance with the policies or procedures may deteriorate.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140"/>
          </w:cols>
          <w:pgMar w:left="380" w:top="787" w:right="379"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9" w:lineRule="exact"/>
        <w:rPr>
          <w:sz w:val="20"/>
          <w:szCs w:val="20"/>
          <w:color w:val="auto"/>
        </w:rPr>
      </w:pPr>
    </w:p>
    <w:p>
      <w:pPr>
        <w:ind w:left="60" w:right="20" w:firstLine="268"/>
        <w:spacing w:after="0" w:line="268" w:lineRule="auto"/>
        <w:rPr>
          <w:sz w:val="20"/>
          <w:szCs w:val="20"/>
          <w:color w:val="auto"/>
        </w:rPr>
      </w:pPr>
      <w:r>
        <w:rPr>
          <w:rFonts w:ascii="Arial" w:cs="Arial" w:eastAsia="Arial" w:hAnsi="Arial"/>
          <w:sz w:val="17"/>
          <w:szCs w:val="17"/>
          <w:color w:val="auto"/>
        </w:rPr>
        <w:t xml:space="preserve">Information required by this Item 10 related to our directors is incorporated by reference to the information to be included under “Proposal No. 1. Election of Directors” of our definitive Proxy Statement for our Annual Meeting of Stockholders scheduled to be held April 26, 2018 (“2018 Proxy Statement”). Information about compliance with Section 16(a) of the Exchange Act is incorporated by reference to the information to be included under the heading “Section 16(a) Beneficial Ownership Reporting Compliance” in our 2018 Proxy Statement. Information regarding the procedures by which our stockholders may recommend nominees to our board of directors is incorporated by reference to the information to be included under the heading “Nominating and Corporate Governance Committee Matters </w:t>
      </w:r>
      <w:r>
        <w:rPr>
          <w:rFonts w:ascii="Arial" w:cs="Arial" w:eastAsia="Arial" w:hAnsi="Arial"/>
          <w:sz w:val="17"/>
          <w:szCs w:val="17"/>
          <w:i w:val="1"/>
          <w:iCs w:val="1"/>
          <w:color w:val="auto"/>
        </w:rPr>
        <w:t>—</w:t>
      </w:r>
      <w:r>
        <w:rPr>
          <w:rFonts w:ascii="Arial" w:cs="Arial" w:eastAsia="Arial" w:hAnsi="Arial"/>
          <w:sz w:val="17"/>
          <w:szCs w:val="17"/>
          <w:color w:val="auto"/>
        </w:rPr>
        <w:t xml:space="preserve"> Criteria for Nomination to the Board of Directors and Diversity” in our 2018 Proxy Statement. Information about our Audit Committee, including its members, and our Audit Committee financial experts, is incorporated by reference to the information to be included under the headings “Audit Committee Matters” in our 2018 Proxy Statement. The balance of the information required by this item is contained in the discussion entitled “Executive Officers” in Part I of this Annual Report on Form 10-K.</w:t>
      </w:r>
    </w:p>
    <w:p>
      <w:pPr>
        <w:spacing w:after="0" w:line="74" w:lineRule="exact"/>
        <w:rPr>
          <w:sz w:val="20"/>
          <w:szCs w:val="20"/>
          <w:color w:val="auto"/>
        </w:rPr>
      </w:pPr>
    </w:p>
    <w:p>
      <w:pPr>
        <w:ind w:left="60" w:right="180" w:firstLine="268"/>
        <w:spacing w:after="0" w:line="254" w:lineRule="auto"/>
        <w:rPr>
          <w:sz w:val="20"/>
          <w:szCs w:val="20"/>
          <w:color w:val="auto"/>
        </w:rPr>
      </w:pPr>
      <w:r>
        <w:rPr>
          <w:rFonts w:ascii="Arial" w:cs="Arial" w:eastAsia="Arial" w:hAnsi="Arial"/>
          <w:sz w:val="18"/>
          <w:szCs w:val="18"/>
          <w:color w:val="auto"/>
        </w:rPr>
        <w:t xml:space="preserve">We have a code of ethics that applies to all of our directors, officers and other employees. This code is publicly available on our website at </w:t>
      </w:r>
      <w:r>
        <w:rPr>
          <w:rFonts w:ascii="Arial" w:cs="Arial" w:eastAsia="Arial" w:hAnsi="Arial"/>
          <w:sz w:val="18"/>
          <w:szCs w:val="18"/>
          <w:i w:val="1"/>
          <w:iCs w:val="1"/>
          <w:color w:val="auto"/>
        </w:rPr>
        <w:t>www.myrgroup.com</w:t>
      </w:r>
      <w:r>
        <w:rPr>
          <w:rFonts w:ascii="Arial" w:cs="Arial" w:eastAsia="Arial" w:hAnsi="Arial"/>
          <w:sz w:val="18"/>
          <w:szCs w:val="18"/>
          <w:color w:val="auto"/>
        </w:rPr>
        <w:t>. Amendments to the code of ethics or any grant of a waiver from a provision of the code requiring disclosure under applicable SEC and</w:t>
      </w:r>
      <w:r>
        <w:rPr>
          <w:rFonts w:ascii="Arial" w:cs="Arial" w:eastAsia="Arial" w:hAnsi="Arial"/>
          <w:sz w:val="18"/>
          <w:szCs w:val="18"/>
          <w:i w:val="1"/>
          <w:iCs w:val="1"/>
          <w:color w:val="auto"/>
        </w:rPr>
        <w:t xml:space="preserve"> </w:t>
      </w:r>
      <w:r>
        <w:rPr>
          <w:rFonts w:ascii="Arial" w:cs="Arial" w:eastAsia="Arial" w:hAnsi="Arial"/>
          <w:sz w:val="18"/>
          <w:szCs w:val="18"/>
          <w:color w:val="auto"/>
        </w:rPr>
        <w:t>NASDAQ Global Market rules will be disclosed on our website or, if so required, disclosed in a Current Report on Form 8-K filed with the SEC. The information on our website is not, and shall not be deemed to be, a part of this Annual Report on Form 10-K or incorporated into any other filings we make with the SEC.</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11. Executive Compensation</w:t>
      </w:r>
    </w:p>
    <w:p>
      <w:pPr>
        <w:spacing w:after="0" w:line="119" w:lineRule="exact"/>
        <w:rPr>
          <w:sz w:val="20"/>
          <w:szCs w:val="20"/>
          <w:color w:val="auto"/>
        </w:rPr>
      </w:pPr>
    </w:p>
    <w:p>
      <w:pPr>
        <w:ind w:left="60" w:right="220" w:firstLine="268"/>
        <w:spacing w:after="0" w:line="260" w:lineRule="auto"/>
        <w:rPr>
          <w:sz w:val="20"/>
          <w:szCs w:val="20"/>
          <w:color w:val="auto"/>
        </w:rPr>
      </w:pPr>
      <w:r>
        <w:rPr>
          <w:rFonts w:ascii="Arial" w:cs="Arial" w:eastAsia="Arial" w:hAnsi="Arial"/>
          <w:sz w:val="18"/>
          <w:szCs w:val="18"/>
          <w:color w:val="auto"/>
        </w:rPr>
        <w:t>The information required by this Item 11 is incorporated by reference to the information to be included in our 2018 Proxy Statement under the headings “Director Compensation,” “Compensation Discussion and Analysis,” “Executive Compensation Tables” and “Compensation Committee Matters — Compensation Committee Report for the Year Ended December 31, 2017.”</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5" w:lineRule="exact"/>
        <w:rPr>
          <w:sz w:val="20"/>
          <w:szCs w:val="20"/>
          <w:color w:val="auto"/>
        </w:rPr>
      </w:pPr>
    </w:p>
    <w:p>
      <w:pPr>
        <w:ind w:left="60" w:right="100" w:firstLine="268"/>
        <w:spacing w:after="0" w:line="260" w:lineRule="auto"/>
        <w:rPr>
          <w:sz w:val="20"/>
          <w:szCs w:val="20"/>
          <w:color w:val="auto"/>
        </w:rPr>
      </w:pPr>
      <w:r>
        <w:rPr>
          <w:rFonts w:ascii="Arial" w:cs="Arial" w:eastAsia="Arial" w:hAnsi="Arial"/>
          <w:sz w:val="18"/>
          <w:szCs w:val="18"/>
          <w:color w:val="auto"/>
        </w:rPr>
        <w:t>The following table sets forth certain information regarding our 2007 Long-Term Incentive Plan (Amended and Restated as of May 1, 2014) (the “2007 Plan”) and our 2017 Long-Term Incentive Plan (the “LTIP”) as of December 31, 2017. At December 31, 2017, our only active equity compensation plan was the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9635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63545" cy="825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16510</wp:posOffset>
            </wp:positionV>
            <wp:extent cx="24015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01570"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securities to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be issued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5"/>
              <w:spacing w:after="0" w:line="147"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upon exercise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45"/>
              <w:spacing w:after="0" w:line="147" w:lineRule="exact"/>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 outstanding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5"/>
              <w:spacing w:after="0" w:line="147" w:lineRule="exact"/>
              <w:rPr>
                <w:sz w:val="20"/>
                <w:szCs w:val="20"/>
                <w:color w:val="auto"/>
              </w:rPr>
            </w:pPr>
            <w:r>
              <w:rPr>
                <w:rFonts w:ascii="Arial" w:cs="Arial" w:eastAsia="Arial" w:hAnsi="Arial"/>
                <w:sz w:val="14"/>
                <w:szCs w:val="14"/>
                <w:b w:val="1"/>
                <w:bCs w:val="1"/>
                <w:color w:val="auto"/>
                <w:w w:val="90"/>
              </w:rPr>
              <w:t>of outstanding</w:t>
            </w:r>
          </w:p>
        </w:tc>
        <w:tc>
          <w:tcPr>
            <w:tcW w:w="1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options,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5"/>
              <w:spacing w:after="0" w:line="147" w:lineRule="exact"/>
              <w:rPr>
                <w:sz w:val="20"/>
                <w:szCs w:val="20"/>
                <w:color w:val="auto"/>
              </w:rPr>
            </w:pPr>
            <w:r>
              <w:rPr>
                <w:rFonts w:ascii="Arial" w:cs="Arial" w:eastAsia="Arial" w:hAnsi="Arial"/>
                <w:sz w:val="14"/>
                <w:szCs w:val="14"/>
                <w:b w:val="1"/>
                <w:bCs w:val="1"/>
                <w:color w:val="auto"/>
                <w:w w:val="88"/>
              </w:rPr>
              <w:t>options,</w:t>
            </w:r>
          </w:p>
        </w:tc>
        <w:tc>
          <w:tcPr>
            <w:tcW w:w="1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59"/>
        </w:trPr>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warrants and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45"/>
              <w:spacing w:after="0" w:line="159" w:lineRule="exact"/>
              <w:rPr>
                <w:sz w:val="20"/>
                <w:szCs w:val="20"/>
                <w:color w:val="auto"/>
              </w:rPr>
            </w:pPr>
            <w:r>
              <w:rPr>
                <w:rFonts w:ascii="Arial" w:cs="Arial" w:eastAsia="Arial" w:hAnsi="Arial"/>
                <w:sz w:val="14"/>
                <w:szCs w:val="14"/>
                <w:b w:val="1"/>
                <w:bCs w:val="1"/>
                <w:color w:val="auto"/>
                <w:w w:val="94"/>
              </w:rPr>
              <w:t>warrants and</w:t>
            </w:r>
          </w:p>
        </w:tc>
        <w:tc>
          <w:tcPr>
            <w:tcW w:w="16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b w:val="1"/>
                <w:bCs w:val="1"/>
                <w:color w:val="auto"/>
                <w:w w:val="86"/>
              </w:rPr>
              <w:t>rights</w:t>
            </w:r>
            <w:r>
              <w:rPr>
                <w:rFonts w:ascii="Arial" w:cs="Arial" w:eastAsia="Arial" w:hAnsi="Arial"/>
                <w:sz w:val="23"/>
                <w:szCs w:val="23"/>
                <w:b w:val="1"/>
                <w:bCs w:val="1"/>
                <w:color w:val="auto"/>
                <w:w w:val="86"/>
                <w:vertAlign w:val="superscript"/>
              </w:rPr>
              <w:t>(1)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5"/>
              <w:spacing w:after="0" w:line="199" w:lineRule="exact"/>
              <w:rPr>
                <w:sz w:val="20"/>
                <w:szCs w:val="20"/>
                <w:color w:val="auto"/>
              </w:rPr>
            </w:pPr>
            <w:r>
              <w:rPr>
                <w:rFonts w:ascii="Arial" w:cs="Arial" w:eastAsia="Arial" w:hAnsi="Arial"/>
                <w:sz w:val="14"/>
                <w:szCs w:val="14"/>
                <w:b w:val="1"/>
                <w:bCs w:val="1"/>
                <w:color w:val="auto"/>
                <w:w w:val="86"/>
              </w:rPr>
              <w:t>rights</w:t>
            </w:r>
            <w:r>
              <w:rPr>
                <w:rFonts w:ascii="Arial" w:cs="Arial" w:eastAsia="Arial" w:hAnsi="Arial"/>
                <w:sz w:val="23"/>
                <w:szCs w:val="23"/>
                <w:b w:val="1"/>
                <w:bCs w:val="1"/>
                <w:color w:val="auto"/>
                <w:w w:val="86"/>
                <w:vertAlign w:val="superscript"/>
              </w:rPr>
              <w:t>(2)</w:t>
            </w:r>
          </w:p>
        </w:tc>
        <w:tc>
          <w:tcPr>
            <w:tcW w:w="16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b w:val="1"/>
                <w:bCs w:val="1"/>
                <w:color w:val="auto"/>
                <w:w w:val="86"/>
              </w:rPr>
              <w:t>plans</w:t>
            </w:r>
            <w:r>
              <w:rPr>
                <w:rFonts w:ascii="Arial" w:cs="Arial" w:eastAsia="Arial" w:hAnsi="Arial"/>
                <w:sz w:val="23"/>
                <w:szCs w:val="23"/>
                <w:b w:val="1"/>
                <w:bCs w:val="1"/>
                <w:color w:val="auto"/>
                <w:w w:val="86"/>
                <w:vertAlign w:val="superscript"/>
              </w:rPr>
              <w:t>(3)</w:t>
            </w: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785,706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21.92</w:t>
            </w:r>
          </w:p>
        </w:tc>
        <w:tc>
          <w:tcPr>
            <w:tcW w:w="1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877,620</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60" w:type="dxa"/>
            <w:vAlign w:val="bottom"/>
          </w:tcPr>
          <w:p>
            <w:pPr>
              <w:spacing w:after="0"/>
              <w:rPr>
                <w:sz w:val="19"/>
                <w:szCs w:val="19"/>
                <w:color w:val="auto"/>
              </w:rPr>
            </w:pPr>
          </w:p>
        </w:tc>
        <w:tc>
          <w:tcPr>
            <w:tcW w:w="124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ind w:right="8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162560</wp:posOffset>
            </wp:positionV>
            <wp:extent cx="61341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341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00" w:hanging="274"/>
        <w:spacing w:after="0" w:line="256"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 597,406 shares committed to be issued for phantom stock and performance awards granted in 2015, 2016 and 2017 under the 2007 Plan (assumes actual performance for performance awards granted in 2015; assumes maximum performance for performance awards granted in 2016 and 2017), (ii) 165,920 shares subject to outstanding option awards granted under the 2007 Plan and (iii) 22,380 shares subject to outstanding restricted stock units granted under the LTIP.</w:t>
      </w:r>
    </w:p>
    <w:p>
      <w:pPr>
        <w:spacing w:after="0" w:line="82" w:lineRule="exact"/>
        <w:rPr>
          <w:rFonts w:ascii="Arial" w:cs="Arial" w:eastAsia="Arial" w:hAnsi="Arial"/>
          <w:sz w:val="18"/>
          <w:szCs w:val="18"/>
          <w:color w:val="auto"/>
        </w:rPr>
      </w:pPr>
    </w:p>
    <w:p>
      <w:pPr>
        <w:ind w:left="300" w:right="660" w:hanging="274"/>
        <w:spacing w:after="0" w:line="272"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calculation in this column includes only option awards because the shares underlying other outstanding awards will be issued upon vesting or satisfaction of relevant performance criteria without any cash consideration payable for those shares.</w:t>
      </w:r>
    </w:p>
    <w:p>
      <w:pPr>
        <w:spacing w:after="0" w:line="67" w:lineRule="exact"/>
        <w:rPr>
          <w:rFonts w:ascii="Arial" w:cs="Arial" w:eastAsia="Arial" w:hAnsi="Arial"/>
          <w:sz w:val="18"/>
          <w:szCs w:val="18"/>
          <w:color w:val="auto"/>
        </w:rPr>
      </w:pPr>
    </w:p>
    <w:p>
      <w:pPr>
        <w:ind w:left="300" w:hanging="274"/>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securities remaining available for future issuance under our LTIP. No further awards will be granted under the 2007 Plan.</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40" w:firstLine="268"/>
        <w:spacing w:after="0" w:line="272" w:lineRule="auto"/>
        <w:rPr>
          <w:sz w:val="20"/>
          <w:szCs w:val="20"/>
          <w:color w:val="auto"/>
        </w:rPr>
      </w:pPr>
      <w:r>
        <w:rPr>
          <w:rFonts w:ascii="Arial" w:cs="Arial" w:eastAsia="Arial" w:hAnsi="Arial"/>
          <w:sz w:val="18"/>
          <w:szCs w:val="18"/>
          <w:color w:val="auto"/>
        </w:rPr>
        <w:t>Other information required by this Item 12 is incorporated by reference to the information to be included in our 2018 Proxy Statement under the headings “Ownership of Equity Securities” and “Compensation Discussion and Analysis.”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9" w:lineRule="exact"/>
        <w:rPr>
          <w:sz w:val="20"/>
          <w:szCs w:val="20"/>
          <w:color w:val="auto"/>
        </w:rPr>
      </w:pPr>
    </w:p>
    <w:p>
      <w:pPr>
        <w:ind w:left="40" w:right="120" w:firstLine="268"/>
        <w:spacing w:after="0" w:line="272" w:lineRule="auto"/>
        <w:rPr>
          <w:sz w:val="20"/>
          <w:szCs w:val="20"/>
          <w:color w:val="auto"/>
        </w:rPr>
      </w:pPr>
      <w:r>
        <w:rPr>
          <w:rFonts w:ascii="Arial" w:cs="Arial" w:eastAsia="Arial" w:hAnsi="Arial"/>
          <w:sz w:val="18"/>
          <w:szCs w:val="18"/>
          <w:color w:val="auto"/>
        </w:rPr>
        <w:t>The information required by this Item 13 is incorporated by reference to the information to be included in our 2018 Proxy Statement under the headings “Certain Relationships and Related Person Transactions” and “Corporate Governance — Director Independence.”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9" w:lineRule="exact"/>
        <w:rPr>
          <w:sz w:val="20"/>
          <w:szCs w:val="20"/>
          <w:color w:val="auto"/>
        </w:rPr>
      </w:pPr>
    </w:p>
    <w:p>
      <w:pPr>
        <w:ind w:left="40" w:right="200" w:firstLine="268"/>
        <w:spacing w:after="0" w:line="272" w:lineRule="auto"/>
        <w:rPr>
          <w:sz w:val="20"/>
          <w:szCs w:val="20"/>
          <w:color w:val="auto"/>
        </w:rPr>
      </w:pPr>
      <w:r>
        <w:rPr>
          <w:rFonts w:ascii="Arial" w:cs="Arial" w:eastAsia="Arial" w:hAnsi="Arial"/>
          <w:sz w:val="18"/>
          <w:szCs w:val="18"/>
          <w:color w:val="auto"/>
        </w:rPr>
        <w:t>The information required by this Item 14 is incorporated by reference to the information to be included in our 2018 Proxy Statement under the heading “Audit Committee Matters — Independent Auditors’ Fees.”</w:t>
      </w:r>
    </w:p>
    <w:p>
      <w:pPr>
        <w:spacing w:after="0" w:line="200" w:lineRule="exact"/>
        <w:rPr>
          <w:sz w:val="20"/>
          <w:szCs w:val="20"/>
          <w:color w:val="auto"/>
        </w:rPr>
      </w:pPr>
    </w:p>
    <w:p>
      <w:pPr>
        <w:spacing w:after="0" w:line="31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00"/>
          </w:cols>
          <w:pgMar w:left="380" w:top="787" w:right="21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9" w:lineRule="exact"/>
        <w:rPr>
          <w:sz w:val="20"/>
          <w:szCs w:val="20"/>
          <w:color w:val="auto"/>
        </w:rPr>
      </w:pPr>
    </w:p>
    <w:p>
      <w:pPr>
        <w:ind w:left="540" w:hanging="26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4" w:lineRule="exact"/>
        <w:rPr>
          <w:rFonts w:ascii="Arial" w:cs="Arial" w:eastAsia="Arial" w:hAnsi="Arial"/>
          <w:sz w:val="18"/>
          <w:szCs w:val="18"/>
          <w:color w:val="auto"/>
        </w:rPr>
      </w:pPr>
    </w:p>
    <w:p>
      <w:pPr>
        <w:ind w:left="820" w:hanging="278"/>
        <w:spacing w:after="0"/>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following Financial Statements are filed herewith in Item 8 of Part II above.</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Report of Management</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Firms</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Statements of Comprehensive Income</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Statements of Stockholders’ Equity</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114" w:lineRule="exact"/>
        <w:rPr>
          <w:rFonts w:ascii="Arial" w:cs="Arial" w:eastAsia="Arial" w:hAnsi="Arial"/>
          <w:sz w:val="18"/>
          <w:szCs w:val="18"/>
          <w:color w:val="auto"/>
        </w:rPr>
      </w:pPr>
    </w:p>
    <w:p>
      <w:pPr>
        <w:ind w:left="1080" w:hanging="269"/>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114" w:lineRule="exact"/>
        <w:rPr>
          <w:rFonts w:ascii="Arial" w:cs="Arial" w:eastAsia="Arial" w:hAnsi="Arial"/>
          <w:sz w:val="18"/>
          <w:szCs w:val="18"/>
          <w:color w:val="auto"/>
        </w:rPr>
      </w:pPr>
    </w:p>
    <w:p>
      <w:pPr>
        <w:ind w:left="540" w:hanging="26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5" w:lineRule="exact"/>
        <w:rPr>
          <w:sz w:val="20"/>
          <w:szCs w:val="20"/>
          <w:color w:val="auto"/>
        </w:rPr>
      </w:pPr>
    </w:p>
    <w:p>
      <w:pPr>
        <w:ind w:left="580"/>
        <w:spacing w:after="0" w:line="272" w:lineRule="auto"/>
        <w:rPr>
          <w:sz w:val="20"/>
          <w:szCs w:val="20"/>
          <w:color w:val="auto"/>
        </w:rPr>
      </w:pPr>
      <w:r>
        <w:rPr>
          <w:rFonts w:ascii="Arial" w:cs="Arial" w:eastAsia="Arial" w:hAnsi="Arial"/>
          <w:sz w:val="18"/>
          <w:szCs w:val="18"/>
          <w:color w:val="auto"/>
        </w:rPr>
        <w:t>All other supplemental schedules are omitted because of the absence of conditions under which they are required, or the required information is shown in the notes to the Financial Statements.</w:t>
      </w:r>
    </w:p>
    <w:p>
      <w:pPr>
        <w:spacing w:after="0" w:line="200" w:lineRule="exact"/>
        <w:rPr>
          <w:sz w:val="20"/>
          <w:szCs w:val="20"/>
          <w:color w:val="auto"/>
        </w:rPr>
      </w:pPr>
    </w:p>
    <w:p>
      <w:pPr>
        <w:spacing w:after="0" w:line="31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iii) Exhibit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51352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35245" cy="8255"/>
                    </a:xfrm>
                    <a:prstGeom prst="rect">
                      <a:avLst/>
                    </a:prstGeom>
                    <a:noFill/>
                  </pic:spPr>
                </pic:pic>
              </a:graphicData>
            </a:graphic>
          </wp:anchor>
        </w:drawing>
      </w:r>
    </w:p>
    <w:p>
      <w:pPr>
        <w:spacing w:after="0" w:line="194" w:lineRule="exact"/>
        <w:rPr>
          <w:sz w:val="20"/>
          <w:szCs w:val="20"/>
          <w:color w:val="auto"/>
        </w:rPr>
      </w:pPr>
    </w:p>
    <w:p>
      <w:pPr>
        <w:ind w:left="40"/>
        <w:spacing w:after="0"/>
        <w:tabs>
          <w:tab w:leader="none" w:pos="55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5715</wp:posOffset>
            </wp:positionV>
            <wp:extent cx="65322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4" w:lineRule="exact"/>
        <w:rPr>
          <w:sz w:val="20"/>
          <w:szCs w:val="20"/>
          <w:color w:val="auto"/>
        </w:rPr>
      </w:pPr>
    </w:p>
    <w:p>
      <w:pPr>
        <w:ind w:left="780" w:right="40" w:hanging="558"/>
        <w:spacing w:after="0" w:line="246" w:lineRule="auto"/>
        <w:tabs>
          <w:tab w:leader="none" w:pos="760" w:val="left"/>
        </w:tabs>
        <w:rPr>
          <w:rFonts w:ascii="Arial" w:cs="Arial" w:eastAsia="Arial" w:hAnsi="Arial"/>
          <w:sz w:val="18"/>
          <w:szCs w:val="18"/>
          <w:u w:val="single" w:color="auto"/>
          <w:color w:val="0000EE"/>
        </w:rPr>
      </w:pPr>
      <w:hyperlink r:id="rId318">
        <w:r>
          <w:rPr>
            <w:rFonts w:ascii="Arial" w:cs="Arial" w:eastAsia="Arial" w:hAnsi="Arial"/>
            <w:sz w:val="18"/>
            <w:szCs w:val="18"/>
            <w:color w:val="0000EE"/>
          </w:rPr>
          <w:t>3.1</w:t>
        </w:r>
      </w:hyperlink>
      <w:r>
        <w:rPr>
          <w:rFonts w:ascii="Arial" w:cs="Arial" w:eastAsia="Arial" w:hAnsi="Arial"/>
          <w:sz w:val="18"/>
          <w:szCs w:val="18"/>
          <w:color w:val="0000EE"/>
        </w:rPr>
        <w:tab/>
      </w:r>
      <w:hyperlink r:id="rId318">
        <w:r>
          <w:rPr>
            <w:rFonts w:ascii="Arial" w:cs="Arial" w:eastAsia="Arial" w:hAnsi="Arial"/>
            <w:sz w:val="18"/>
            <w:szCs w:val="18"/>
            <w:u w:val="single" w:color="auto"/>
            <w:color w:val="0000EE"/>
          </w:rPr>
          <w:t>Restated Certificate of Incorporation, incorporated by reference to exhibit 3.1 of the Company’s Form 8-K (File No. 001-08325), filed with the</w:t>
        </w:r>
      </w:hyperlink>
      <w:r>
        <w:rPr>
          <w:rFonts w:ascii="Arial" w:cs="Arial" w:eastAsia="Arial" w:hAnsi="Arial"/>
          <w:sz w:val="18"/>
          <w:szCs w:val="18"/>
          <w:u w:val="single" w:color="auto"/>
          <w:color w:val="0000EE"/>
        </w:rPr>
        <w:t xml:space="preserve"> </w:t>
      </w:r>
      <w:hyperlink r:id="rId318">
        <w:r>
          <w:rPr>
            <w:rFonts w:ascii="Arial" w:cs="Arial" w:eastAsia="Arial" w:hAnsi="Arial"/>
            <w:sz w:val="18"/>
            <w:szCs w:val="18"/>
            <w:u w:val="single" w:color="auto"/>
            <w:color w:val="0000EE"/>
          </w:rPr>
          <w:t>SEC on May 7, 2014</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106045</wp:posOffset>
            </wp:positionH>
            <wp:positionV relativeFrom="paragraph">
              <wp:posOffset>-159385</wp:posOffset>
            </wp:positionV>
            <wp:extent cx="170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ind w:left="780" w:right="320" w:hanging="558"/>
        <w:spacing w:after="0" w:line="248" w:lineRule="auto"/>
        <w:tabs>
          <w:tab w:leader="none" w:pos="760" w:val="left"/>
        </w:tabs>
        <w:rPr>
          <w:rFonts w:ascii="Arial" w:cs="Arial" w:eastAsia="Arial" w:hAnsi="Arial"/>
          <w:sz w:val="18"/>
          <w:szCs w:val="18"/>
          <w:u w:val="single" w:color="auto"/>
          <w:color w:val="0000EE"/>
        </w:rPr>
      </w:pPr>
      <w:hyperlink r:id="rId320">
        <w:r>
          <w:rPr>
            <w:rFonts w:ascii="Arial" w:cs="Arial" w:eastAsia="Arial" w:hAnsi="Arial"/>
            <w:sz w:val="18"/>
            <w:szCs w:val="18"/>
            <w:color w:val="0000EE"/>
          </w:rPr>
          <w:t>3.2</w:t>
        </w:r>
      </w:hyperlink>
      <w:r>
        <w:rPr>
          <w:rFonts w:ascii="Arial" w:cs="Arial" w:eastAsia="Arial" w:hAnsi="Arial"/>
          <w:sz w:val="18"/>
          <w:szCs w:val="18"/>
          <w:color w:val="0000EE"/>
        </w:rPr>
        <w:tab/>
      </w:r>
      <w:hyperlink r:id="rId320">
        <w:r>
          <w:rPr>
            <w:rFonts w:ascii="Arial" w:cs="Arial" w:eastAsia="Arial" w:hAnsi="Arial"/>
            <w:sz w:val="18"/>
            <w:szCs w:val="18"/>
            <w:u w:val="single" w:color="auto"/>
            <w:color w:val="0000EE"/>
          </w:rPr>
          <w:t>Amended and Restated By-Laws, incorporated by reference to exhibit 3.1 of the Company’s Form 8-K (File No. 001-08325), filed with the</w:t>
        </w:r>
      </w:hyperlink>
      <w:r>
        <w:rPr>
          <w:rFonts w:ascii="Arial" w:cs="Arial" w:eastAsia="Arial" w:hAnsi="Arial"/>
          <w:sz w:val="18"/>
          <w:szCs w:val="18"/>
          <w:u w:val="single" w:color="auto"/>
          <w:color w:val="0000EE"/>
        </w:rPr>
        <w:t xml:space="preserve"> </w:t>
      </w:r>
      <w:hyperlink r:id="rId320">
        <w:r>
          <w:rPr>
            <w:rFonts w:ascii="Arial" w:cs="Arial" w:eastAsia="Arial" w:hAnsi="Arial"/>
            <w:sz w:val="18"/>
            <w:szCs w:val="18"/>
            <w:u w:val="single" w:color="auto"/>
            <w:color w:val="0000EE"/>
          </w:rPr>
          <w:t>SEC on December 22, 2015</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106045</wp:posOffset>
            </wp:positionH>
            <wp:positionV relativeFrom="paragraph">
              <wp:posOffset>-159385</wp:posOffset>
            </wp:positionV>
            <wp:extent cx="170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ind w:left="780" w:right="180" w:hanging="558"/>
        <w:spacing w:after="0" w:line="248" w:lineRule="auto"/>
        <w:tabs>
          <w:tab w:leader="none" w:pos="760" w:val="left"/>
        </w:tabs>
        <w:rPr>
          <w:rFonts w:ascii="Arial" w:cs="Arial" w:eastAsia="Arial" w:hAnsi="Arial"/>
          <w:sz w:val="18"/>
          <w:szCs w:val="18"/>
          <w:u w:val="single" w:color="auto"/>
          <w:color w:val="0000EE"/>
        </w:rPr>
      </w:pPr>
      <w:hyperlink r:id="rId322">
        <w:r>
          <w:rPr>
            <w:rFonts w:ascii="Arial" w:cs="Arial" w:eastAsia="Arial" w:hAnsi="Arial"/>
            <w:sz w:val="18"/>
            <w:szCs w:val="18"/>
            <w:color w:val="0000EE"/>
          </w:rPr>
          <w:t>4.1</w:t>
        </w:r>
      </w:hyperlink>
      <w:r>
        <w:rPr>
          <w:rFonts w:ascii="Arial" w:cs="Arial" w:eastAsia="Arial" w:hAnsi="Arial"/>
          <w:sz w:val="18"/>
          <w:szCs w:val="18"/>
          <w:color w:val="0000EE"/>
        </w:rPr>
        <w:tab/>
      </w:r>
      <w:hyperlink r:id="rId322">
        <w:r>
          <w:rPr>
            <w:rFonts w:ascii="Arial" w:cs="Arial" w:eastAsia="Arial" w:hAnsi="Arial"/>
            <w:sz w:val="18"/>
            <w:szCs w:val="18"/>
            <w:u w:val="single" w:color="auto"/>
            <w:color w:val="0000EE"/>
          </w:rPr>
          <w:t>Specimen Common Stock Certificate, incorporated by reference to exhibit 4.2 of the Company’s Registration Statement on Form S-1/A (File</w:t>
        </w:r>
      </w:hyperlink>
      <w:r>
        <w:rPr>
          <w:rFonts w:ascii="Arial" w:cs="Arial" w:eastAsia="Arial" w:hAnsi="Arial"/>
          <w:sz w:val="18"/>
          <w:szCs w:val="18"/>
          <w:u w:val="single" w:color="auto"/>
          <w:color w:val="0000EE"/>
        </w:rPr>
        <w:t xml:space="preserve"> </w:t>
      </w:r>
      <w:hyperlink r:id="rId322">
        <w:r>
          <w:rPr>
            <w:rFonts w:ascii="Arial" w:cs="Arial" w:eastAsia="Arial" w:hAnsi="Arial"/>
            <w:sz w:val="18"/>
            <w:szCs w:val="18"/>
            <w:u w:val="single" w:color="auto"/>
            <w:color w:val="0000EE"/>
          </w:rPr>
          <w:t>No. 333-148864), filed with the SEC on July 14, 2008</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106045</wp:posOffset>
            </wp:positionH>
            <wp:positionV relativeFrom="paragraph">
              <wp:posOffset>-159385</wp:posOffset>
            </wp:positionV>
            <wp:extent cx="170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ind w:left="780" w:right="140" w:hanging="625"/>
        <w:spacing w:after="0" w:line="263" w:lineRule="auto"/>
        <w:tabs>
          <w:tab w:leader="none" w:pos="760" w:val="left"/>
        </w:tabs>
        <w:rPr>
          <w:rFonts w:ascii="Arial" w:cs="Arial" w:eastAsia="Arial" w:hAnsi="Arial"/>
          <w:sz w:val="17"/>
          <w:szCs w:val="17"/>
          <w:u w:val="single" w:color="auto"/>
          <w:color w:val="0000EE"/>
        </w:rPr>
      </w:pPr>
      <w:hyperlink r:id="rId32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324">
        <w:r>
          <w:rPr>
            <w:rFonts w:ascii="Arial" w:cs="Arial" w:eastAsia="Arial" w:hAnsi="Arial"/>
            <w:sz w:val="17"/>
            <w:szCs w:val="17"/>
            <w:u w:val="single" w:color="auto"/>
            <w:color w:val="0000EE"/>
          </w:rPr>
          <w:t>Credit Agreement, dated December 21, 2011, between the Registrant and J.P. Morgan Chase Bank, N.A., Bank of America, N.A., PNC Bank,</w:t>
        </w:r>
      </w:hyperlink>
      <w:r>
        <w:rPr>
          <w:rFonts w:ascii="Arial" w:cs="Arial" w:eastAsia="Arial" w:hAnsi="Arial"/>
          <w:sz w:val="17"/>
          <w:szCs w:val="17"/>
          <w:u w:val="single" w:color="auto"/>
          <w:color w:val="0000EE"/>
        </w:rPr>
        <w:t xml:space="preserve"> </w:t>
      </w:r>
      <w:hyperlink r:id="rId324">
        <w:r>
          <w:rPr>
            <w:rFonts w:ascii="Arial" w:cs="Arial" w:eastAsia="Arial" w:hAnsi="Arial"/>
            <w:sz w:val="17"/>
            <w:szCs w:val="17"/>
            <w:u w:val="single" w:color="auto"/>
            <w:color w:val="0000EE"/>
          </w:rPr>
          <w:t>National Association, BMO Harris Bank N.A and Wells Fargo Bank, National Association, incorporated by reference to exhibit 10.1 of the</w:t>
        </w:r>
      </w:hyperlink>
      <w:r>
        <w:rPr>
          <w:rFonts w:ascii="Arial" w:cs="Arial" w:eastAsia="Arial" w:hAnsi="Arial"/>
          <w:sz w:val="17"/>
          <w:szCs w:val="17"/>
          <w:u w:val="single" w:color="auto"/>
          <w:color w:val="0000EE"/>
        </w:rPr>
        <w:t xml:space="preserve"> </w:t>
      </w:r>
      <w:hyperlink r:id="rId324">
        <w:r>
          <w:rPr>
            <w:rFonts w:ascii="Arial" w:cs="Arial" w:eastAsia="Arial" w:hAnsi="Arial"/>
            <w:sz w:val="17"/>
            <w:szCs w:val="17"/>
            <w:u w:val="single" w:color="auto"/>
            <w:color w:val="0000EE"/>
          </w:rPr>
          <w:t>Company’s Current Report on Form 8-K (File No. 001-08325), filed with the SEC on December 23, 2011</w:t>
        </w:r>
      </w:hyperlink>
    </w:p>
    <w:p>
      <w:pPr>
        <w:spacing w:after="0" w:line="1" w:lineRule="exact"/>
        <w:rPr>
          <w:rFonts w:ascii="Arial" w:cs="Arial" w:eastAsia="Arial" w:hAnsi="Arial"/>
          <w:sz w:val="17"/>
          <w:szCs w:val="17"/>
          <w:u w:val="single" w:color="auto"/>
          <w:color w:val="0000EE"/>
        </w:rPr>
      </w:pPr>
    </w:p>
    <w:p>
      <w:pPr>
        <w:ind w:left="780" w:right="320" w:hanging="625"/>
        <w:spacing w:after="0" w:line="263" w:lineRule="auto"/>
        <w:tabs>
          <w:tab w:leader="none" w:pos="760" w:val="left"/>
        </w:tabs>
        <w:rPr>
          <w:rFonts w:ascii="Arial" w:cs="Arial" w:eastAsia="Arial" w:hAnsi="Arial"/>
          <w:sz w:val="17"/>
          <w:szCs w:val="17"/>
          <w:u w:val="single" w:color="auto"/>
          <w:color w:val="0000EE"/>
        </w:rPr>
      </w:pPr>
      <w:hyperlink r:id="rId325">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325">
        <w:r>
          <w:rPr>
            <w:rFonts w:ascii="Arial" w:cs="Arial" w:eastAsia="Arial" w:hAnsi="Arial"/>
            <w:sz w:val="17"/>
            <w:szCs w:val="17"/>
            <w:u w:val="single" w:color="auto"/>
            <w:color w:val="0000EE"/>
          </w:rPr>
          <w:t>Pledge and Security Agreement, dated December 21, 2011, between the Registrant, certain of its Subsidiaries and J.P. Morgan Chase Bank,</w:t>
        </w:r>
      </w:hyperlink>
      <w:r>
        <w:rPr>
          <w:rFonts w:ascii="Arial" w:cs="Arial" w:eastAsia="Arial" w:hAnsi="Arial"/>
          <w:sz w:val="17"/>
          <w:szCs w:val="17"/>
          <w:u w:val="single" w:color="auto"/>
          <w:color w:val="0000EE"/>
        </w:rPr>
        <w:t xml:space="preserve"> </w:t>
      </w:r>
      <w:hyperlink r:id="rId325">
        <w:r>
          <w:rPr>
            <w:rFonts w:ascii="Arial" w:cs="Arial" w:eastAsia="Arial" w:hAnsi="Arial"/>
            <w:sz w:val="17"/>
            <w:szCs w:val="17"/>
            <w:u w:val="single" w:color="auto"/>
            <w:color w:val="0000EE"/>
          </w:rPr>
          <w:t>N.A., in its capacity as administrative agent for the lenders party to the Credit Agreement, incorporated by reference to exhibit 10.2 of the</w:t>
        </w:r>
      </w:hyperlink>
      <w:r>
        <w:rPr>
          <w:rFonts w:ascii="Arial" w:cs="Arial" w:eastAsia="Arial" w:hAnsi="Arial"/>
          <w:sz w:val="17"/>
          <w:szCs w:val="17"/>
          <w:u w:val="single" w:color="auto"/>
          <w:color w:val="0000EE"/>
        </w:rPr>
        <w:t xml:space="preserve"> </w:t>
      </w:r>
      <w:hyperlink r:id="rId325">
        <w:r>
          <w:rPr>
            <w:rFonts w:ascii="Arial" w:cs="Arial" w:eastAsia="Arial" w:hAnsi="Arial"/>
            <w:sz w:val="17"/>
            <w:szCs w:val="17"/>
            <w:u w:val="single" w:color="auto"/>
            <w:color w:val="0000EE"/>
          </w:rPr>
          <w:t>Company’s Current Report on Form 8-K (File No. 001-08325), filed with the SEC on December 23, 2011</w:t>
        </w:r>
      </w:hyperlink>
    </w:p>
    <w:p>
      <w:pPr>
        <w:spacing w:after="0" w:line="1" w:lineRule="exact"/>
        <w:rPr>
          <w:rFonts w:ascii="Arial" w:cs="Arial" w:eastAsia="Arial" w:hAnsi="Arial"/>
          <w:sz w:val="17"/>
          <w:szCs w:val="17"/>
          <w:u w:val="single" w:color="auto"/>
          <w:color w:val="0000EE"/>
        </w:rPr>
      </w:pPr>
    </w:p>
    <w:p>
      <w:pPr>
        <w:ind w:left="780" w:hanging="625"/>
        <w:spacing w:after="0" w:line="263" w:lineRule="auto"/>
        <w:tabs>
          <w:tab w:leader="none" w:pos="760" w:val="left"/>
        </w:tabs>
        <w:rPr>
          <w:rFonts w:ascii="Arial" w:cs="Arial" w:eastAsia="Arial" w:hAnsi="Arial"/>
          <w:sz w:val="17"/>
          <w:szCs w:val="17"/>
          <w:u w:val="single" w:color="auto"/>
          <w:color w:val="0000EE"/>
        </w:rPr>
      </w:pPr>
      <w:hyperlink r:id="rId326">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326">
        <w:r>
          <w:rPr>
            <w:rFonts w:ascii="Arial" w:cs="Arial" w:eastAsia="Arial" w:hAnsi="Arial"/>
            <w:sz w:val="17"/>
            <w:szCs w:val="17"/>
            <w:u w:val="single" w:color="auto"/>
            <w:color w:val="0000EE"/>
          </w:rPr>
          <w:t>Guaranty, dated December 21, 2011, between certain Subsidiaries of the Registrant in favor of J.P. Morgan Chase Bank, N.A., as administrative</w:t>
        </w:r>
      </w:hyperlink>
      <w:r>
        <w:rPr>
          <w:rFonts w:ascii="Arial" w:cs="Arial" w:eastAsia="Arial" w:hAnsi="Arial"/>
          <w:sz w:val="17"/>
          <w:szCs w:val="17"/>
          <w:u w:val="single" w:color="auto"/>
          <w:color w:val="0000EE"/>
        </w:rPr>
        <w:t xml:space="preserve"> </w:t>
      </w:r>
      <w:hyperlink r:id="rId326">
        <w:r>
          <w:rPr>
            <w:rFonts w:ascii="Arial" w:cs="Arial" w:eastAsia="Arial" w:hAnsi="Arial"/>
            <w:sz w:val="17"/>
            <w:szCs w:val="17"/>
            <w:u w:val="single" w:color="auto"/>
            <w:color w:val="0000EE"/>
          </w:rPr>
          <w:t>agent for the benefit of the Holders of Secured Obligations under the Credit Agreement, incorporated by reference to exhibit 10.3 of the</w:t>
        </w:r>
      </w:hyperlink>
      <w:r>
        <w:rPr>
          <w:rFonts w:ascii="Arial" w:cs="Arial" w:eastAsia="Arial" w:hAnsi="Arial"/>
          <w:sz w:val="17"/>
          <w:szCs w:val="17"/>
          <w:u w:val="single" w:color="auto"/>
          <w:color w:val="0000EE"/>
        </w:rPr>
        <w:t xml:space="preserve"> </w:t>
      </w:r>
      <w:hyperlink r:id="rId326">
        <w:r>
          <w:rPr>
            <w:rFonts w:ascii="Arial" w:cs="Arial" w:eastAsia="Arial" w:hAnsi="Arial"/>
            <w:sz w:val="17"/>
            <w:szCs w:val="17"/>
            <w:u w:val="single" w:color="auto"/>
            <w:color w:val="0000EE"/>
          </w:rPr>
          <w:t>Company’s Current Report on Form 8-K (File No. 001-08325), filed with the SEC on December 23, 2011</w:t>
        </w:r>
      </w:hyperlink>
    </w:p>
    <w:p>
      <w:pPr>
        <w:spacing w:after="0" w:line="1" w:lineRule="exact"/>
        <w:rPr>
          <w:rFonts w:ascii="Arial" w:cs="Arial" w:eastAsia="Arial" w:hAnsi="Arial"/>
          <w:sz w:val="17"/>
          <w:szCs w:val="17"/>
          <w:u w:val="single" w:color="auto"/>
          <w:color w:val="0000EE"/>
        </w:rPr>
      </w:pPr>
    </w:p>
    <w:p>
      <w:pPr>
        <w:ind w:left="780" w:right="80" w:hanging="625"/>
        <w:spacing w:after="0" w:line="248" w:lineRule="auto"/>
        <w:tabs>
          <w:tab w:leader="none" w:pos="760" w:val="left"/>
        </w:tabs>
        <w:rPr>
          <w:rFonts w:ascii="Arial" w:cs="Arial" w:eastAsia="Arial" w:hAnsi="Arial"/>
          <w:sz w:val="18"/>
          <w:szCs w:val="18"/>
          <w:u w:val="single" w:color="auto"/>
          <w:color w:val="0000EE"/>
        </w:rPr>
      </w:pPr>
      <w:hyperlink r:id="rId327">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327">
        <w:r>
          <w:rPr>
            <w:rFonts w:ascii="Arial" w:cs="Arial" w:eastAsia="Arial" w:hAnsi="Arial"/>
            <w:sz w:val="18"/>
            <w:szCs w:val="18"/>
            <w:u w:val="single" w:color="auto"/>
            <w:color w:val="0000EE"/>
          </w:rPr>
          <w:t>MYR Group Inc. 2007 Long-Term Incentive Plan (Amended and Restated as of May 1, 2014), incorporated by reference to exhibit 10.1 of the</w:t>
        </w:r>
      </w:hyperlink>
      <w:r>
        <w:rPr>
          <w:rFonts w:ascii="Arial" w:cs="Arial" w:eastAsia="Arial" w:hAnsi="Arial"/>
          <w:sz w:val="18"/>
          <w:szCs w:val="18"/>
          <w:u w:val="single" w:color="auto"/>
          <w:color w:val="0000EE"/>
        </w:rPr>
        <w:t xml:space="preserve"> </w:t>
      </w:r>
      <w:hyperlink r:id="rId327">
        <w:r>
          <w:rPr>
            <w:rFonts w:ascii="Arial" w:cs="Arial" w:eastAsia="Arial" w:hAnsi="Arial"/>
            <w:sz w:val="18"/>
            <w:szCs w:val="18"/>
            <w:u w:val="single" w:color="auto"/>
            <w:color w:val="0000EE"/>
          </w:rPr>
          <w:t>Company’s Form 8-K (File No. 001-08325), filed with the SEC on May 7, 2014+</w:t>
        </w:r>
      </w:hyperlink>
    </w:p>
    <w:p>
      <w:pPr>
        <w:spacing w:after="0" w:line="1" w:lineRule="exact"/>
        <w:rPr>
          <w:rFonts w:ascii="Arial" w:cs="Arial" w:eastAsia="Arial" w:hAnsi="Arial"/>
          <w:sz w:val="18"/>
          <w:szCs w:val="18"/>
          <w:u w:val="single" w:color="auto"/>
          <w:color w:val="0000EE"/>
        </w:rPr>
      </w:pPr>
    </w:p>
    <w:p>
      <w:pPr>
        <w:jc w:val="right"/>
        <w:ind w:left="140" w:right="160"/>
        <w:spacing w:after="0" w:line="279" w:lineRule="auto"/>
        <w:rPr>
          <w:rFonts w:ascii="Arial" w:cs="Arial" w:eastAsia="Arial" w:hAnsi="Arial"/>
          <w:sz w:val="16"/>
          <w:szCs w:val="16"/>
          <w:u w:val="single" w:color="auto"/>
          <w:color w:val="0000EE"/>
        </w:rPr>
      </w:pPr>
      <w:hyperlink r:id="rId328">
        <w:r>
          <w:rPr>
            <w:rFonts w:ascii="Arial" w:cs="Arial" w:eastAsia="Arial" w:hAnsi="Arial"/>
            <w:sz w:val="16"/>
            <w:szCs w:val="16"/>
            <w:u w:val="single" w:color="auto"/>
            <w:color w:val="0000EE"/>
          </w:rPr>
          <w:t>10.5    Form of Named Executive Officer Nonqualified Stock Option Award under the 2007 Long-Term Incentive Plan, incorporated by reference to</w:t>
        </w:r>
      </w:hyperlink>
      <w:r>
        <w:rPr>
          <w:rFonts w:ascii="Arial" w:cs="Arial" w:eastAsia="Arial" w:hAnsi="Arial"/>
          <w:sz w:val="16"/>
          <w:szCs w:val="16"/>
          <w:u w:val="single" w:color="auto"/>
          <w:color w:val="0000EE"/>
        </w:rPr>
        <w:t xml:space="preserve"> </w:t>
      </w:r>
      <w:hyperlink r:id="rId328">
        <w:r>
          <w:rPr>
            <w:rFonts w:ascii="Arial" w:cs="Arial" w:eastAsia="Arial" w:hAnsi="Arial"/>
            <w:sz w:val="16"/>
            <w:szCs w:val="16"/>
            <w:u w:val="single" w:color="auto"/>
            <w:color w:val="0000EE"/>
          </w:rPr>
          <w:t>exhibit 10.1 of the Company’s Form 10-Q for the quarter ended March 31, 2010 (File No. 001-08325), filed with the SEC on May 10, 2010+</w:t>
        </w:r>
      </w:hyperlink>
      <w:r>
        <w:rPr>
          <w:rFonts w:ascii="Arial" w:cs="Arial" w:eastAsia="Arial" w:hAnsi="Arial"/>
          <w:sz w:val="16"/>
          <w:szCs w:val="16"/>
          <w:u w:val="single" w:color="auto"/>
          <w:color w:val="0000EE"/>
        </w:rPr>
        <w:t xml:space="preserve"> </w:t>
      </w:r>
      <w:hyperlink r:id="rId329">
        <w:r>
          <w:rPr>
            <w:rFonts w:ascii="Arial" w:cs="Arial" w:eastAsia="Arial" w:hAnsi="Arial"/>
            <w:sz w:val="16"/>
            <w:szCs w:val="16"/>
            <w:u w:val="single" w:color="auto"/>
            <w:color w:val="0000EE"/>
          </w:rPr>
          <w:t>10.6    Form of Employment Agreement, dated March 11, 2010, between the Registrant and Executive Officer, incorporated by reference to exhibit</w:t>
        </w:r>
      </w:hyperlink>
    </w:p>
    <w:p>
      <w:pPr>
        <w:spacing w:after="0" w:line="2" w:lineRule="exact"/>
        <w:rPr>
          <w:rFonts w:ascii="Arial" w:cs="Arial" w:eastAsia="Arial" w:hAnsi="Arial"/>
          <w:sz w:val="16"/>
          <w:szCs w:val="16"/>
          <w:u w:val="single" w:color="auto"/>
          <w:color w:val="0000EE"/>
        </w:rPr>
      </w:pPr>
    </w:p>
    <w:p>
      <w:pPr>
        <w:jc w:val="center"/>
        <w:ind w:right="-39"/>
        <w:spacing w:after="0"/>
        <w:rPr>
          <w:rFonts w:ascii="Arial" w:cs="Arial" w:eastAsia="Arial" w:hAnsi="Arial"/>
          <w:sz w:val="18"/>
          <w:szCs w:val="18"/>
          <w:u w:val="single" w:color="auto"/>
          <w:color w:val="0000EE"/>
        </w:rPr>
      </w:pPr>
      <w:hyperlink r:id="rId329">
        <w:r>
          <w:rPr>
            <w:rFonts w:ascii="Arial" w:cs="Arial" w:eastAsia="Arial" w:hAnsi="Arial"/>
            <w:sz w:val="18"/>
            <w:szCs w:val="18"/>
            <w:u w:val="single" w:color="auto"/>
            <w:color w:val="0000EE"/>
          </w:rPr>
          <w:t>10.5 of the Company’s Form 10-Q for the quarter ended March 31, 2010 (File No. 001-08325), filed with the SEC on May 10, 2010+</w:t>
        </w:r>
      </w:hyperlink>
    </w:p>
    <w:p>
      <w:pPr>
        <w:spacing w:after="0" w:line="8" w:lineRule="exact"/>
        <w:rPr>
          <w:rFonts w:ascii="Arial" w:cs="Arial" w:eastAsia="Arial" w:hAnsi="Arial"/>
          <w:sz w:val="16"/>
          <w:szCs w:val="16"/>
          <w:u w:val="single" w:color="auto"/>
          <w:color w:val="0000EE"/>
        </w:rPr>
      </w:pPr>
    </w:p>
    <w:p>
      <w:pPr>
        <w:ind w:left="140"/>
        <w:spacing w:after="0"/>
        <w:tabs>
          <w:tab w:leader="none" w:pos="760" w:val="left"/>
        </w:tabs>
        <w:rPr>
          <w:rFonts w:ascii="Arial" w:cs="Arial" w:eastAsia="Arial" w:hAnsi="Arial"/>
          <w:sz w:val="16"/>
          <w:szCs w:val="16"/>
          <w:u w:val="single" w:color="auto"/>
          <w:color w:val="0000EE"/>
        </w:rPr>
      </w:pPr>
      <w:hyperlink r:id="rId330">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330">
        <w:r>
          <w:rPr>
            <w:rFonts w:ascii="Arial" w:cs="Arial" w:eastAsia="Arial" w:hAnsi="Arial"/>
            <w:sz w:val="16"/>
            <w:szCs w:val="16"/>
            <w:u w:val="single" w:color="auto"/>
            <w:color w:val="0000EE"/>
          </w:rPr>
          <w:t>Form of Indemnification Agreement for Directors and Officers, incorporated by reference to exhibit 10.1 of the Company’s Form 8-K (File No.</w:t>
        </w:r>
      </w:hyperlink>
    </w:p>
    <w:p>
      <w:pPr>
        <w:spacing w:after="0" w:line="8" w:lineRule="exact"/>
        <w:rPr>
          <w:sz w:val="20"/>
          <w:szCs w:val="20"/>
          <w:color w:val="auto"/>
        </w:rPr>
      </w:pPr>
    </w:p>
    <w:p>
      <w:pPr>
        <w:ind w:left="780"/>
        <w:spacing w:after="0"/>
        <w:rPr>
          <w:rFonts w:ascii="Arial" w:cs="Arial" w:eastAsia="Arial" w:hAnsi="Arial"/>
          <w:sz w:val="18"/>
          <w:szCs w:val="18"/>
          <w:u w:val="single" w:color="auto"/>
          <w:color w:val="0000EE"/>
        </w:rPr>
      </w:pPr>
      <w:hyperlink r:id="rId330">
        <w:r>
          <w:rPr>
            <w:rFonts w:ascii="Arial" w:cs="Arial" w:eastAsia="Arial" w:hAnsi="Arial"/>
            <w:sz w:val="18"/>
            <w:szCs w:val="18"/>
            <w:u w:val="single" w:color="auto"/>
            <w:color w:val="0000EE"/>
          </w:rPr>
          <w:t>001-08325), filed with the SEC on May 11, 2011+</w:t>
        </w:r>
      </w:hyperlink>
    </w:p>
    <w:p>
      <w:pPr>
        <w:spacing w:after="0" w:line="8" w:lineRule="exact"/>
        <w:rPr>
          <w:sz w:val="20"/>
          <w:szCs w:val="20"/>
          <w:color w:val="auto"/>
        </w:rPr>
      </w:pPr>
    </w:p>
    <w:p>
      <w:pPr>
        <w:ind w:left="780" w:right="240" w:hanging="625"/>
        <w:spacing w:after="0" w:line="248" w:lineRule="auto"/>
        <w:tabs>
          <w:tab w:leader="none" w:pos="760" w:val="left"/>
        </w:tabs>
        <w:rPr>
          <w:rFonts w:ascii="Arial" w:cs="Arial" w:eastAsia="Arial" w:hAnsi="Arial"/>
          <w:sz w:val="18"/>
          <w:szCs w:val="18"/>
          <w:u w:val="single" w:color="auto"/>
          <w:color w:val="0000EE"/>
        </w:rPr>
      </w:pPr>
      <w:hyperlink r:id="rId331">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331">
        <w:r>
          <w:rPr>
            <w:rFonts w:ascii="Arial" w:cs="Arial" w:eastAsia="Arial" w:hAnsi="Arial"/>
            <w:sz w:val="18"/>
            <w:szCs w:val="18"/>
            <w:u w:val="single" w:color="auto"/>
            <w:color w:val="0000EE"/>
          </w:rPr>
          <w:t>MYR Group Senior Management Incentive Plan, Amended and Restated as of May 1, 2014, incorporated by reference to exhibit 10.2 of the</w:t>
        </w:r>
      </w:hyperlink>
      <w:r>
        <w:rPr>
          <w:rFonts w:ascii="Arial" w:cs="Arial" w:eastAsia="Arial" w:hAnsi="Arial"/>
          <w:sz w:val="18"/>
          <w:szCs w:val="18"/>
          <w:u w:val="single" w:color="auto"/>
          <w:color w:val="0000EE"/>
        </w:rPr>
        <w:t xml:space="preserve"> </w:t>
      </w:r>
      <w:hyperlink r:id="rId331">
        <w:r>
          <w:rPr>
            <w:rFonts w:ascii="Arial" w:cs="Arial" w:eastAsia="Arial" w:hAnsi="Arial"/>
            <w:sz w:val="18"/>
            <w:szCs w:val="18"/>
            <w:u w:val="single" w:color="auto"/>
            <w:color w:val="0000EE"/>
          </w:rPr>
          <w:t>Company’s Current Report on Form 8-K (File No. 001-08325), filed with the SEC on May 7, 2014+</w:t>
        </w:r>
      </w:hyperlink>
    </w:p>
    <w:p>
      <w:pPr>
        <w:spacing w:after="0" w:line="1" w:lineRule="exact"/>
        <w:rPr>
          <w:rFonts w:ascii="Arial" w:cs="Arial" w:eastAsia="Arial" w:hAnsi="Arial"/>
          <w:sz w:val="18"/>
          <w:szCs w:val="18"/>
          <w:u w:val="single" w:color="auto"/>
          <w:color w:val="0000EE"/>
        </w:rPr>
      </w:pPr>
    </w:p>
    <w:p>
      <w:pPr>
        <w:ind w:left="780" w:hanging="625"/>
        <w:spacing w:after="0" w:line="263" w:lineRule="auto"/>
        <w:tabs>
          <w:tab w:leader="none" w:pos="760" w:val="left"/>
        </w:tabs>
        <w:rPr>
          <w:rFonts w:ascii="Arial" w:cs="Arial" w:eastAsia="Arial" w:hAnsi="Arial"/>
          <w:sz w:val="17"/>
          <w:szCs w:val="17"/>
          <w:u w:val="single" w:color="auto"/>
          <w:color w:val="0000EE"/>
        </w:rPr>
      </w:pPr>
      <w:hyperlink r:id="rId332">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332">
        <w:r>
          <w:rPr>
            <w:rFonts w:ascii="Arial" w:cs="Arial" w:eastAsia="Arial" w:hAnsi="Arial"/>
            <w:sz w:val="17"/>
            <w:szCs w:val="17"/>
            <w:u w:val="single" w:color="auto"/>
            <w:color w:val="0000EE"/>
          </w:rPr>
          <w:t>Form of Named Executive Officer Restricted Stock Award under 2007 Long-Term Incentive Plan, incorporated by reference to exhibit 10.15 of</w:t>
        </w:r>
      </w:hyperlink>
      <w:r>
        <w:rPr>
          <w:rFonts w:ascii="Arial" w:cs="Arial" w:eastAsia="Arial" w:hAnsi="Arial"/>
          <w:sz w:val="17"/>
          <w:szCs w:val="17"/>
          <w:u w:val="single" w:color="auto"/>
          <w:color w:val="0000EE"/>
        </w:rPr>
        <w:t xml:space="preserve"> </w:t>
      </w:r>
      <w:hyperlink r:id="rId332">
        <w:r>
          <w:rPr>
            <w:rFonts w:ascii="Arial" w:cs="Arial" w:eastAsia="Arial" w:hAnsi="Arial"/>
            <w:sz w:val="17"/>
            <w:szCs w:val="17"/>
            <w:u w:val="single" w:color="auto"/>
            <w:color w:val="0000EE"/>
          </w:rPr>
          <w:t>the Company’s Form 10-K for the year ended December 31, 2013 (File No. 001-08325), filed with the SEC on March 5, 2014+</w:t>
        </w:r>
      </w:hyperlink>
    </w:p>
    <w:p>
      <w:pPr>
        <w:spacing w:after="0" w:line="1" w:lineRule="exact"/>
        <w:rPr>
          <w:rFonts w:ascii="Arial" w:cs="Arial" w:eastAsia="Arial" w:hAnsi="Arial"/>
          <w:sz w:val="18"/>
          <w:szCs w:val="18"/>
          <w:u w:val="single" w:color="auto"/>
          <w:color w:val="0000EE"/>
        </w:rPr>
      </w:pPr>
    </w:p>
    <w:p>
      <w:pPr>
        <w:ind w:left="780" w:hanging="647"/>
        <w:spacing w:after="0" w:line="263" w:lineRule="auto"/>
        <w:tabs>
          <w:tab w:leader="none" w:pos="760" w:val="left"/>
        </w:tabs>
        <w:rPr>
          <w:rFonts w:ascii="Arial" w:cs="Arial" w:eastAsia="Arial" w:hAnsi="Arial"/>
          <w:sz w:val="17"/>
          <w:szCs w:val="17"/>
          <w:u w:val="single" w:color="auto"/>
          <w:color w:val="0000EE"/>
        </w:rPr>
      </w:pPr>
      <w:hyperlink r:id="rId333">
        <w:r>
          <w:rPr>
            <w:rFonts w:ascii="Arial" w:cs="Arial" w:eastAsia="Arial" w:hAnsi="Arial"/>
            <w:sz w:val="18"/>
            <w:szCs w:val="18"/>
            <w:color w:val="0000EE"/>
          </w:rPr>
          <w:t>10.10</w:t>
        </w:r>
      </w:hyperlink>
      <w:r>
        <w:rPr>
          <w:rFonts w:ascii="Arial" w:cs="Arial" w:eastAsia="Arial" w:hAnsi="Arial"/>
          <w:sz w:val="18"/>
          <w:szCs w:val="18"/>
          <w:color w:val="0000EE"/>
        </w:rPr>
        <w:tab/>
      </w:r>
      <w:hyperlink r:id="rId333">
        <w:r>
          <w:rPr>
            <w:rFonts w:ascii="Arial" w:cs="Arial" w:eastAsia="Arial" w:hAnsi="Arial"/>
            <w:sz w:val="17"/>
            <w:szCs w:val="17"/>
            <w:u w:val="single" w:color="auto"/>
            <w:color w:val="0000EE"/>
          </w:rPr>
          <w:t>Form of Named Executive Officer Performance Share Award under 2007 Long-Term Incentive Plan, incorporated by reference to exhibit 10.16</w:t>
        </w:r>
      </w:hyperlink>
      <w:r>
        <w:rPr>
          <w:rFonts w:ascii="Arial" w:cs="Arial" w:eastAsia="Arial" w:hAnsi="Arial"/>
          <w:sz w:val="17"/>
          <w:szCs w:val="17"/>
          <w:u w:val="single" w:color="auto"/>
          <w:color w:val="0000EE"/>
        </w:rPr>
        <w:t xml:space="preserve"> </w:t>
      </w:r>
      <w:hyperlink r:id="rId333">
        <w:r>
          <w:rPr>
            <w:rFonts w:ascii="Arial" w:cs="Arial" w:eastAsia="Arial" w:hAnsi="Arial"/>
            <w:sz w:val="17"/>
            <w:szCs w:val="17"/>
            <w:u w:val="single" w:color="auto"/>
            <w:color w:val="0000EE"/>
          </w:rPr>
          <w:t>of the Company’s Form 10-K for the year ended December 31, 2013 (File No. 001-08325), filed with the SEC on March 5, 2014+</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48895</wp:posOffset>
            </wp:positionH>
            <wp:positionV relativeFrom="paragraph">
              <wp:posOffset>-159385</wp:posOffset>
            </wp:positionV>
            <wp:extent cx="2838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ind w:left="780" w:right="40" w:hanging="644"/>
        <w:spacing w:after="0" w:line="263" w:lineRule="auto"/>
        <w:tabs>
          <w:tab w:leader="none" w:pos="760" w:val="left"/>
        </w:tabs>
        <w:rPr>
          <w:rFonts w:ascii="Arial" w:cs="Arial" w:eastAsia="Arial" w:hAnsi="Arial"/>
          <w:sz w:val="17"/>
          <w:szCs w:val="17"/>
          <w:u w:val="single" w:color="auto"/>
          <w:color w:val="0000EE"/>
        </w:rPr>
      </w:pPr>
      <w:hyperlink r:id="rId335">
        <w:r>
          <w:rPr>
            <w:rFonts w:ascii="Arial" w:cs="Arial" w:eastAsia="Arial" w:hAnsi="Arial"/>
            <w:sz w:val="18"/>
            <w:szCs w:val="18"/>
            <w:color w:val="0000EE"/>
          </w:rPr>
          <w:t>10.11</w:t>
        </w:r>
      </w:hyperlink>
      <w:r>
        <w:rPr>
          <w:rFonts w:ascii="Arial" w:cs="Arial" w:eastAsia="Arial" w:hAnsi="Arial"/>
          <w:sz w:val="18"/>
          <w:szCs w:val="18"/>
          <w:color w:val="0000EE"/>
        </w:rPr>
        <w:tab/>
      </w:r>
      <w:hyperlink r:id="rId335">
        <w:r>
          <w:rPr>
            <w:rFonts w:ascii="Arial" w:cs="Arial" w:eastAsia="Arial" w:hAnsi="Arial"/>
            <w:sz w:val="17"/>
            <w:szCs w:val="17"/>
            <w:u w:val="single" w:color="auto"/>
            <w:color w:val="0000EE"/>
          </w:rPr>
          <w:t>Form of Independent Director Restricted Stock Award under 2007 Long-Term Incentive Plan, incorporated by reference to exhibit 10.17 of the</w:t>
        </w:r>
      </w:hyperlink>
      <w:r>
        <w:rPr>
          <w:rFonts w:ascii="Arial" w:cs="Arial" w:eastAsia="Arial" w:hAnsi="Arial"/>
          <w:sz w:val="17"/>
          <w:szCs w:val="17"/>
          <w:u w:val="single" w:color="auto"/>
          <w:color w:val="0000EE"/>
        </w:rPr>
        <w:t xml:space="preserve"> </w:t>
      </w:r>
      <w:hyperlink r:id="rId335">
        <w:r>
          <w:rPr>
            <w:rFonts w:ascii="Arial" w:cs="Arial" w:eastAsia="Arial" w:hAnsi="Arial"/>
            <w:sz w:val="17"/>
            <w:szCs w:val="17"/>
            <w:u w:val="single" w:color="auto"/>
            <w:color w:val="0000EE"/>
          </w:rPr>
          <w:t>Company’s Form 10-K for the year ended December 31, 2013 (File No. 001-08325), filed with the SEC on March 5, 2014+</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51435</wp:posOffset>
            </wp:positionH>
            <wp:positionV relativeFrom="paragraph">
              <wp:posOffset>-159385</wp:posOffset>
            </wp:positionV>
            <wp:extent cx="2794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ind w:left="780" w:right="20" w:hanging="647"/>
        <w:spacing w:after="0" w:line="248" w:lineRule="auto"/>
        <w:tabs>
          <w:tab w:leader="none" w:pos="760" w:val="left"/>
        </w:tabs>
        <w:rPr>
          <w:rFonts w:ascii="Arial" w:cs="Arial" w:eastAsia="Arial" w:hAnsi="Arial"/>
          <w:sz w:val="18"/>
          <w:szCs w:val="18"/>
          <w:u w:val="single" w:color="auto"/>
          <w:color w:val="0000EE"/>
        </w:rPr>
      </w:pPr>
      <w:hyperlink r:id="rId337">
        <w:r>
          <w:rPr>
            <w:rFonts w:ascii="Arial" w:cs="Arial" w:eastAsia="Arial" w:hAnsi="Arial"/>
            <w:sz w:val="18"/>
            <w:szCs w:val="18"/>
            <w:color w:val="0000EE"/>
          </w:rPr>
          <w:t>10.12</w:t>
        </w:r>
      </w:hyperlink>
      <w:r>
        <w:rPr>
          <w:rFonts w:ascii="Arial" w:cs="Arial" w:eastAsia="Arial" w:hAnsi="Arial"/>
          <w:sz w:val="18"/>
          <w:szCs w:val="18"/>
          <w:color w:val="0000EE"/>
        </w:rPr>
        <w:tab/>
      </w:r>
      <w:hyperlink r:id="rId337">
        <w:r>
          <w:rPr>
            <w:rFonts w:ascii="Arial" w:cs="Arial" w:eastAsia="Arial" w:hAnsi="Arial"/>
            <w:sz w:val="18"/>
            <w:szCs w:val="18"/>
            <w:u w:val="single" w:color="auto"/>
            <w:color w:val="0000EE"/>
          </w:rPr>
          <w:t>Form of Independent Director Phantom Stock and Dividend Equivalents Award under the 2007 Long-Term Incentive Plan, incorporated by</w:t>
        </w:r>
      </w:hyperlink>
      <w:r>
        <w:rPr>
          <w:rFonts w:ascii="Arial" w:cs="Arial" w:eastAsia="Arial" w:hAnsi="Arial"/>
          <w:sz w:val="18"/>
          <w:szCs w:val="18"/>
          <w:u w:val="single" w:color="auto"/>
          <w:color w:val="0000EE"/>
        </w:rPr>
        <w:t xml:space="preserve"> </w:t>
      </w:r>
      <w:hyperlink r:id="rId337">
        <w:r>
          <w:rPr>
            <w:rFonts w:ascii="Arial" w:cs="Arial" w:eastAsia="Arial" w:hAnsi="Arial"/>
            <w:sz w:val="18"/>
            <w:szCs w:val="18"/>
            <w:u w:val="single" w:color="auto"/>
            <w:color w:val="0000EE"/>
          </w:rPr>
          <w:t>reference to exhibit 10.1 of the Company’s Form 10-Q for the quarter ended June 30, 2015 (File No. 001-08325), filed with the SEC on August</w:t>
        </w:r>
      </w:hyperlink>
      <w:r>
        <w:rPr>
          <w:rFonts w:ascii="Arial" w:cs="Arial" w:eastAsia="Arial" w:hAnsi="Arial"/>
          <w:sz w:val="18"/>
          <w:szCs w:val="18"/>
          <w:u w:val="single" w:color="auto"/>
          <w:color w:val="0000EE"/>
        </w:rPr>
        <w:t xml:space="preserve"> </w:t>
      </w:r>
      <w:hyperlink r:id="rId337">
        <w:r>
          <w:rPr>
            <w:rFonts w:ascii="Arial" w:cs="Arial" w:eastAsia="Arial" w:hAnsi="Arial"/>
            <w:sz w:val="18"/>
            <w:szCs w:val="18"/>
            <w:u w:val="single" w:color="auto"/>
            <w:color w:val="0000EE"/>
          </w:rPr>
          <w:t>5, 2015+</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48895</wp:posOffset>
            </wp:positionH>
            <wp:positionV relativeFrom="paragraph">
              <wp:posOffset>-295275</wp:posOffset>
            </wp:positionV>
            <wp:extent cx="2838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ind w:left="780" w:right="220" w:hanging="647"/>
        <w:spacing w:after="0" w:line="257" w:lineRule="auto"/>
        <w:tabs>
          <w:tab w:leader="none" w:pos="760" w:val="left"/>
        </w:tabs>
        <w:rPr>
          <w:rFonts w:ascii="Arial" w:cs="Arial" w:eastAsia="Arial" w:hAnsi="Arial"/>
          <w:sz w:val="18"/>
          <w:szCs w:val="18"/>
          <w:u w:val="single" w:color="auto"/>
          <w:color w:val="0000EE"/>
        </w:rPr>
      </w:pPr>
      <w:hyperlink r:id="rId339">
        <w:r>
          <w:rPr>
            <w:rFonts w:ascii="Arial" w:cs="Arial" w:eastAsia="Arial" w:hAnsi="Arial"/>
            <w:sz w:val="18"/>
            <w:szCs w:val="18"/>
            <w:color w:val="0000EE"/>
          </w:rPr>
          <w:t>10.13</w:t>
        </w:r>
      </w:hyperlink>
      <w:r>
        <w:rPr>
          <w:rFonts w:ascii="Arial" w:cs="Arial" w:eastAsia="Arial" w:hAnsi="Arial"/>
          <w:sz w:val="18"/>
          <w:szCs w:val="18"/>
          <w:color w:val="0000EE"/>
        </w:rPr>
        <w:tab/>
      </w:r>
      <w:hyperlink r:id="rId339">
        <w:r>
          <w:rPr>
            <w:rFonts w:ascii="Arial" w:cs="Arial" w:eastAsia="Arial" w:hAnsi="Arial"/>
            <w:sz w:val="18"/>
            <w:szCs w:val="18"/>
            <w:u w:val="single" w:color="auto"/>
            <w:color w:val="0000EE"/>
          </w:rPr>
          <w:t>Employment agreement with Betty R. Johnson, incorporated by reference to exhibit 10.1 of the Company’s Form 10-Q for the quarter ended</w:t>
        </w:r>
      </w:hyperlink>
      <w:r>
        <w:rPr>
          <w:rFonts w:ascii="Arial" w:cs="Arial" w:eastAsia="Arial" w:hAnsi="Arial"/>
          <w:sz w:val="18"/>
          <w:szCs w:val="18"/>
          <w:u w:val="single" w:color="auto"/>
          <w:color w:val="0000EE"/>
        </w:rPr>
        <w:t xml:space="preserve"> </w:t>
      </w:r>
      <w:hyperlink r:id="rId339">
        <w:r>
          <w:rPr>
            <w:rFonts w:ascii="Arial" w:cs="Arial" w:eastAsia="Arial" w:hAnsi="Arial"/>
            <w:sz w:val="18"/>
            <w:szCs w:val="18"/>
            <w:u w:val="single" w:color="auto"/>
            <w:color w:val="0000EE"/>
          </w:rPr>
          <w:t>September 30, 2015 (File No. 001-08325), filed with the SEC on November 4, 2015+</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48895</wp:posOffset>
            </wp:positionH>
            <wp:positionV relativeFrom="paragraph">
              <wp:posOffset>-168910</wp:posOffset>
            </wp:positionV>
            <wp:extent cx="2838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303" w:lineRule="exact"/>
        <w:rPr>
          <w:rFonts w:ascii="Arial" w:cs="Arial" w:eastAsia="Arial" w:hAnsi="Arial"/>
          <w:sz w:val="18"/>
          <w:szCs w:val="18"/>
          <w:color w:val="0000EE"/>
        </w:rPr>
      </w:pPr>
    </w:p>
    <w:p>
      <w:pPr>
        <w:jc w:val="center"/>
        <w:ind w:right="-99"/>
        <w:spacing w:after="0"/>
        <w:rPr>
          <w:sz w:val="20"/>
          <w:szCs w:val="20"/>
          <w:color w:val="auto"/>
        </w:rPr>
      </w:pPr>
      <w:r>
        <w:rPr>
          <w:rFonts w:ascii="Arial" w:cs="Arial" w:eastAsia="Arial" w:hAnsi="Arial"/>
          <w:sz w:val="18"/>
          <w:szCs w:val="18"/>
          <w:color w:val="auto"/>
        </w:rPr>
        <w:t>91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40"/>
          </w:cols>
          <w:pgMar w:left="380" w:top="787" w:right="47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51352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5135245" cy="8255"/>
                    </a:xfrm>
                    <a:prstGeom prst="rect">
                      <a:avLst/>
                    </a:prstGeom>
                    <a:noFill/>
                  </pic:spPr>
                </pic:pic>
              </a:graphicData>
            </a:graphic>
          </wp:anchor>
        </w:drawing>
      </w:r>
    </w:p>
    <w:p>
      <w:pPr>
        <w:spacing w:after="0" w:line="168" w:lineRule="exact"/>
        <w:rPr>
          <w:sz w:val="20"/>
          <w:szCs w:val="20"/>
          <w:color w:val="auto"/>
        </w:rPr>
      </w:pPr>
    </w:p>
    <w:p>
      <w:pPr>
        <w:ind w:left="40"/>
        <w:spacing w:after="0"/>
        <w:tabs>
          <w:tab w:leader="none" w:pos="55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5715</wp:posOffset>
            </wp:positionV>
            <wp:extent cx="65322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4" w:lineRule="exact"/>
        <w:rPr>
          <w:sz w:val="20"/>
          <w:szCs w:val="20"/>
          <w:color w:val="auto"/>
        </w:rPr>
      </w:pPr>
    </w:p>
    <w:p>
      <w:pPr>
        <w:ind w:left="780" w:right="560" w:hanging="670"/>
        <w:spacing w:after="0" w:line="261" w:lineRule="auto"/>
        <w:tabs>
          <w:tab w:leader="none" w:pos="760" w:val="left"/>
        </w:tabs>
        <w:rPr>
          <w:rFonts w:ascii="Arial" w:cs="Arial" w:eastAsia="Arial" w:hAnsi="Arial"/>
          <w:sz w:val="17"/>
          <w:szCs w:val="17"/>
          <w:u w:val="single" w:color="auto"/>
          <w:color w:val="0000EE"/>
        </w:rPr>
      </w:pPr>
      <w:hyperlink r:id="rId344">
        <w:r>
          <w:rPr>
            <w:rFonts w:ascii="Arial" w:cs="Arial" w:eastAsia="Arial" w:hAnsi="Arial"/>
            <w:sz w:val="18"/>
            <w:szCs w:val="18"/>
            <w:u w:val="single" w:color="auto"/>
            <w:color w:val="0000EE"/>
          </w:rPr>
          <w:t>10.14</w:t>
        </w:r>
      </w:hyperlink>
      <w:r>
        <w:rPr>
          <w:rFonts w:ascii="Arial" w:cs="Arial" w:eastAsia="Arial" w:hAnsi="Arial"/>
          <w:sz w:val="18"/>
          <w:szCs w:val="18"/>
          <w:u w:val="single" w:color="auto"/>
          <w:color w:val="0000EE"/>
        </w:rPr>
        <w:tab/>
      </w:r>
      <w:hyperlink r:id="rId344">
        <w:r>
          <w:rPr>
            <w:rFonts w:ascii="Arial" w:cs="Arial" w:eastAsia="Arial" w:hAnsi="Arial"/>
            <w:sz w:val="17"/>
            <w:szCs w:val="17"/>
            <w:u w:val="single" w:color="auto"/>
            <w:color w:val="0000EE"/>
          </w:rPr>
          <w:t>Employment Agreement, dated April 29, 2015 between the Company and Tod Cooper, incorporated by reference to exhibit 10.21 of the</w:t>
        </w:r>
      </w:hyperlink>
      <w:r>
        <w:rPr>
          <w:rFonts w:ascii="Arial" w:cs="Arial" w:eastAsia="Arial" w:hAnsi="Arial"/>
          <w:sz w:val="17"/>
          <w:szCs w:val="17"/>
          <w:u w:val="single" w:color="auto"/>
          <w:color w:val="0000EE"/>
        </w:rPr>
        <w:t xml:space="preserve"> </w:t>
      </w:r>
      <w:hyperlink r:id="rId344">
        <w:r>
          <w:rPr>
            <w:rFonts w:ascii="Arial" w:cs="Arial" w:eastAsia="Arial" w:hAnsi="Arial"/>
            <w:sz w:val="17"/>
            <w:szCs w:val="17"/>
            <w:u w:val="single" w:color="auto"/>
            <w:color w:val="0000EE"/>
          </w:rPr>
          <w:t>Company’s Form 10-K for the year ended December 31, 2015 (File No. 001-08325), filed with the SEC on March 3, 2015+</w:t>
        </w:r>
      </w:hyperlink>
    </w:p>
    <w:p>
      <w:pPr>
        <w:spacing w:after="0" w:line="1" w:lineRule="exact"/>
        <w:rPr>
          <w:rFonts w:ascii="Arial" w:cs="Arial" w:eastAsia="Arial" w:hAnsi="Arial"/>
          <w:sz w:val="18"/>
          <w:szCs w:val="18"/>
          <w:u w:val="single" w:color="auto"/>
          <w:color w:val="0000EE"/>
        </w:rPr>
      </w:pPr>
    </w:p>
    <w:p>
      <w:pPr>
        <w:ind w:left="780" w:right="220" w:hanging="670"/>
        <w:spacing w:after="0" w:line="248" w:lineRule="auto"/>
        <w:tabs>
          <w:tab w:leader="none" w:pos="760" w:val="left"/>
        </w:tabs>
        <w:rPr>
          <w:rFonts w:ascii="Arial" w:cs="Arial" w:eastAsia="Arial" w:hAnsi="Arial"/>
          <w:sz w:val="18"/>
          <w:szCs w:val="18"/>
          <w:u w:val="single" w:color="auto"/>
          <w:color w:val="0000EE"/>
        </w:rPr>
      </w:pPr>
      <w:hyperlink r:id="rId345">
        <w:r>
          <w:rPr>
            <w:rFonts w:ascii="Arial" w:cs="Arial" w:eastAsia="Arial" w:hAnsi="Arial"/>
            <w:sz w:val="18"/>
            <w:szCs w:val="18"/>
            <w:u w:val="single" w:color="auto"/>
            <w:color w:val="0000EE"/>
          </w:rPr>
          <w:t>10.15</w:t>
        </w:r>
      </w:hyperlink>
      <w:r>
        <w:rPr>
          <w:rFonts w:ascii="Arial" w:cs="Arial" w:eastAsia="Arial" w:hAnsi="Arial"/>
          <w:sz w:val="18"/>
          <w:szCs w:val="18"/>
          <w:u w:val="single" w:color="auto"/>
          <w:color w:val="0000EE"/>
        </w:rPr>
        <w:tab/>
      </w:r>
      <w:hyperlink r:id="rId345">
        <w:r>
          <w:rPr>
            <w:rFonts w:ascii="Arial" w:cs="Arial" w:eastAsia="Arial" w:hAnsi="Arial"/>
            <w:sz w:val="18"/>
            <w:szCs w:val="18"/>
            <w:u w:val="single" w:color="auto"/>
            <w:color w:val="0000EE"/>
          </w:rPr>
          <w:t>Agreement, dated March 22, 2016, by and among MYR Group Inc., Engine Capital Management, LLC, Engine Capital, L.P., Engine Jet</w:t>
        </w:r>
      </w:hyperlink>
      <w:r>
        <w:rPr>
          <w:rFonts w:ascii="Arial" w:cs="Arial" w:eastAsia="Arial" w:hAnsi="Arial"/>
          <w:sz w:val="18"/>
          <w:szCs w:val="18"/>
          <w:u w:val="single" w:color="auto"/>
          <w:color w:val="0000EE"/>
        </w:rPr>
        <w:t xml:space="preserve"> </w:t>
      </w:r>
      <w:hyperlink r:id="rId345">
        <w:r>
          <w:rPr>
            <w:rFonts w:ascii="Arial" w:cs="Arial" w:eastAsia="Arial" w:hAnsi="Arial"/>
            <w:sz w:val="18"/>
            <w:szCs w:val="18"/>
            <w:u w:val="single" w:color="auto"/>
            <w:color w:val="0000EE"/>
          </w:rPr>
          <w:t>Capital, L.P., Engine Airflow Capital, L.P., Engine Investments, LLC, Engine Investments II, LLC, Arnaud Ajdler and John P. Schauerman,</w:t>
        </w:r>
      </w:hyperlink>
      <w:r>
        <w:rPr>
          <w:rFonts w:ascii="Arial" w:cs="Arial" w:eastAsia="Arial" w:hAnsi="Arial"/>
          <w:sz w:val="18"/>
          <w:szCs w:val="18"/>
          <w:u w:val="single" w:color="auto"/>
          <w:color w:val="0000EE"/>
        </w:rPr>
        <w:t xml:space="preserve"> </w:t>
      </w:r>
      <w:hyperlink r:id="rId345">
        <w:r>
          <w:rPr>
            <w:rFonts w:ascii="Arial" w:cs="Arial" w:eastAsia="Arial" w:hAnsi="Arial"/>
            <w:sz w:val="18"/>
            <w:szCs w:val="18"/>
            <w:u w:val="single" w:color="auto"/>
            <w:color w:val="0000EE"/>
          </w:rPr>
          <w:t>incorporated by reference to exhibit 10.1 of the Company’s Current Report on Form 8-K (File No. 001-08325), filed with the SEC on March</w:t>
        </w:r>
      </w:hyperlink>
      <w:r>
        <w:rPr>
          <w:rFonts w:ascii="Arial" w:cs="Arial" w:eastAsia="Arial" w:hAnsi="Arial"/>
          <w:sz w:val="18"/>
          <w:szCs w:val="18"/>
          <w:u w:val="single" w:color="auto"/>
          <w:color w:val="0000EE"/>
        </w:rPr>
        <w:t xml:space="preserve"> </w:t>
      </w:r>
      <w:hyperlink r:id="rId345">
        <w:r>
          <w:rPr>
            <w:rFonts w:ascii="Arial" w:cs="Arial" w:eastAsia="Arial" w:hAnsi="Arial"/>
            <w:sz w:val="18"/>
            <w:szCs w:val="18"/>
            <w:u w:val="single" w:color="auto"/>
            <w:color w:val="0000EE"/>
          </w:rPr>
          <w:t>23, 2016</w:t>
        </w:r>
      </w:hyperlink>
    </w:p>
    <w:p>
      <w:pPr>
        <w:spacing w:after="0" w:line="3" w:lineRule="exact"/>
        <w:rPr>
          <w:rFonts w:ascii="Arial" w:cs="Arial" w:eastAsia="Arial" w:hAnsi="Arial"/>
          <w:sz w:val="18"/>
          <w:szCs w:val="18"/>
          <w:u w:val="single" w:color="auto"/>
          <w:color w:val="0000EE"/>
        </w:rPr>
      </w:pPr>
    </w:p>
    <w:p>
      <w:pPr>
        <w:ind w:left="780" w:right="100" w:hanging="670"/>
        <w:spacing w:after="0" w:line="248" w:lineRule="auto"/>
        <w:tabs>
          <w:tab w:leader="none" w:pos="760" w:val="left"/>
        </w:tabs>
        <w:rPr>
          <w:rFonts w:ascii="Arial" w:cs="Arial" w:eastAsia="Arial" w:hAnsi="Arial"/>
          <w:sz w:val="18"/>
          <w:szCs w:val="18"/>
          <w:u w:val="single" w:color="auto"/>
          <w:color w:val="0000EE"/>
        </w:rPr>
      </w:pPr>
      <w:hyperlink r:id="rId346">
        <w:r>
          <w:rPr>
            <w:rFonts w:ascii="Arial" w:cs="Arial" w:eastAsia="Arial" w:hAnsi="Arial"/>
            <w:sz w:val="18"/>
            <w:szCs w:val="18"/>
            <w:u w:val="single" w:color="auto"/>
            <w:color w:val="0000EE"/>
          </w:rPr>
          <w:t>10.16</w:t>
        </w:r>
      </w:hyperlink>
      <w:r>
        <w:rPr>
          <w:rFonts w:ascii="Arial" w:cs="Arial" w:eastAsia="Arial" w:hAnsi="Arial"/>
          <w:sz w:val="18"/>
          <w:szCs w:val="18"/>
          <w:u w:val="single" w:color="auto"/>
          <w:color w:val="0000EE"/>
        </w:rPr>
        <w:tab/>
      </w:r>
      <w:hyperlink r:id="rId346">
        <w:r>
          <w:rPr>
            <w:rFonts w:ascii="Arial" w:cs="Arial" w:eastAsia="Arial" w:hAnsi="Arial"/>
            <w:sz w:val="18"/>
            <w:szCs w:val="18"/>
            <w:u w:val="single" w:color="auto"/>
            <w:color w:val="0000EE"/>
          </w:rPr>
          <w:t>Amended and Restated Credit Agreement, dated June 30, 2016, incorporated by reference to exhibit 10.1 of the Company’s Current Report on</w:t>
        </w:r>
      </w:hyperlink>
      <w:r>
        <w:rPr>
          <w:rFonts w:ascii="Arial" w:cs="Arial" w:eastAsia="Arial" w:hAnsi="Arial"/>
          <w:sz w:val="18"/>
          <w:szCs w:val="18"/>
          <w:u w:val="single" w:color="auto"/>
          <w:color w:val="0000EE"/>
        </w:rPr>
        <w:t xml:space="preserve"> </w:t>
      </w:r>
      <w:hyperlink r:id="rId346">
        <w:r>
          <w:rPr>
            <w:rFonts w:ascii="Arial" w:cs="Arial" w:eastAsia="Arial" w:hAnsi="Arial"/>
            <w:sz w:val="18"/>
            <w:szCs w:val="18"/>
            <w:u w:val="single" w:color="auto"/>
            <w:color w:val="0000EE"/>
          </w:rPr>
          <w:t>Form 8-K (File No. 001-08325), filed with the SEC on July 7, 2016</w:t>
        </w:r>
      </w:hyperlink>
    </w:p>
    <w:p>
      <w:pPr>
        <w:spacing w:after="0" w:line="1" w:lineRule="exact"/>
        <w:rPr>
          <w:rFonts w:ascii="Arial" w:cs="Arial" w:eastAsia="Arial" w:hAnsi="Arial"/>
          <w:sz w:val="18"/>
          <w:szCs w:val="18"/>
          <w:u w:val="single" w:color="auto"/>
          <w:color w:val="0000EE"/>
        </w:rPr>
      </w:pPr>
    </w:p>
    <w:p>
      <w:pPr>
        <w:ind w:left="100"/>
        <w:spacing w:after="0"/>
        <w:tabs>
          <w:tab w:leader="none" w:pos="760" w:val="left"/>
        </w:tabs>
        <w:rPr>
          <w:rFonts w:ascii="Arial" w:cs="Arial" w:eastAsia="Arial" w:hAnsi="Arial"/>
          <w:sz w:val="16"/>
          <w:szCs w:val="16"/>
          <w:u w:val="single" w:color="auto"/>
          <w:color w:val="0000EE"/>
        </w:rPr>
      </w:pPr>
      <w:hyperlink r:id="rId347">
        <w:r>
          <w:rPr>
            <w:rFonts w:ascii="Arial" w:cs="Arial" w:eastAsia="Arial" w:hAnsi="Arial"/>
            <w:sz w:val="18"/>
            <w:szCs w:val="18"/>
            <w:u w:val="single" w:color="auto"/>
            <w:color w:val="0000EE"/>
          </w:rPr>
          <w:t>10.17</w:t>
        </w:r>
      </w:hyperlink>
      <w:r>
        <w:rPr>
          <w:rFonts w:ascii="Arial" w:cs="Arial" w:eastAsia="Arial" w:hAnsi="Arial"/>
          <w:sz w:val="18"/>
          <w:szCs w:val="18"/>
          <w:u w:val="single" w:color="auto"/>
          <w:color w:val="0000EE"/>
        </w:rPr>
        <w:tab/>
      </w:r>
      <w:hyperlink r:id="rId347">
        <w:r>
          <w:rPr>
            <w:rFonts w:ascii="Arial" w:cs="Arial" w:eastAsia="Arial" w:hAnsi="Arial"/>
            <w:sz w:val="16"/>
            <w:szCs w:val="16"/>
            <w:u w:val="single" w:color="auto"/>
            <w:color w:val="0000EE"/>
          </w:rPr>
          <w:t>Joinder, Amendment No. 1 and Reaffirmation of Pledge and Security Agreement, dated June 30, 2016, incorporated by reference to exhibit</w:t>
        </w:r>
      </w:hyperlink>
    </w:p>
    <w:p>
      <w:pPr>
        <w:spacing w:after="0" w:line="8" w:lineRule="exact"/>
        <w:rPr>
          <w:sz w:val="20"/>
          <w:szCs w:val="20"/>
          <w:color w:val="auto"/>
        </w:rPr>
      </w:pPr>
    </w:p>
    <w:p>
      <w:pPr>
        <w:ind w:left="780"/>
        <w:spacing w:after="0"/>
        <w:rPr>
          <w:rFonts w:ascii="Arial" w:cs="Arial" w:eastAsia="Arial" w:hAnsi="Arial"/>
          <w:sz w:val="18"/>
          <w:szCs w:val="18"/>
          <w:u w:val="single" w:color="auto"/>
          <w:color w:val="0000EE"/>
        </w:rPr>
      </w:pPr>
      <w:hyperlink r:id="rId347">
        <w:r>
          <w:rPr>
            <w:rFonts w:ascii="Arial" w:cs="Arial" w:eastAsia="Arial" w:hAnsi="Arial"/>
            <w:sz w:val="18"/>
            <w:szCs w:val="18"/>
            <w:u w:val="single" w:color="auto"/>
            <w:color w:val="0000EE"/>
          </w:rPr>
          <w:t>10.2 of the Company’s Current Report on Form 8-K (File No. 001-08325), filed with the SEC on July 7, 2016</w:t>
        </w:r>
      </w:hyperlink>
    </w:p>
    <w:p>
      <w:pPr>
        <w:spacing w:after="0" w:line="8" w:lineRule="exact"/>
        <w:rPr>
          <w:sz w:val="20"/>
          <w:szCs w:val="20"/>
          <w:color w:val="auto"/>
        </w:rPr>
      </w:pPr>
    </w:p>
    <w:p>
      <w:pPr>
        <w:ind w:left="780" w:right="260" w:hanging="670"/>
        <w:spacing w:after="0" w:line="248" w:lineRule="auto"/>
        <w:tabs>
          <w:tab w:leader="none" w:pos="760" w:val="left"/>
        </w:tabs>
        <w:rPr>
          <w:rFonts w:ascii="Arial" w:cs="Arial" w:eastAsia="Arial" w:hAnsi="Arial"/>
          <w:sz w:val="18"/>
          <w:szCs w:val="18"/>
          <w:u w:val="single" w:color="auto"/>
          <w:color w:val="0000EE"/>
        </w:rPr>
      </w:pPr>
      <w:hyperlink r:id="rId348">
        <w:r>
          <w:rPr>
            <w:rFonts w:ascii="Arial" w:cs="Arial" w:eastAsia="Arial" w:hAnsi="Arial"/>
            <w:sz w:val="18"/>
            <w:szCs w:val="18"/>
            <w:u w:val="single" w:color="auto"/>
            <w:color w:val="0000EE"/>
          </w:rPr>
          <w:t>10.18</w:t>
        </w:r>
      </w:hyperlink>
      <w:r>
        <w:rPr>
          <w:rFonts w:ascii="Arial" w:cs="Arial" w:eastAsia="Arial" w:hAnsi="Arial"/>
          <w:sz w:val="18"/>
          <w:szCs w:val="18"/>
          <w:u w:val="single" w:color="auto"/>
          <w:color w:val="0000EE"/>
        </w:rPr>
        <w:tab/>
      </w:r>
      <w:hyperlink r:id="rId348">
        <w:r>
          <w:rPr>
            <w:rFonts w:ascii="Arial" w:cs="Arial" w:eastAsia="Arial" w:hAnsi="Arial"/>
            <w:sz w:val="18"/>
            <w:szCs w:val="18"/>
            <w:u w:val="single" w:color="auto"/>
            <w:color w:val="0000EE"/>
          </w:rPr>
          <w:t>Joinder, Amendment No. 1 and Reaffirmation of Guaranty, dated June 30, 2016, incorporated by reference to exhibit 10.3 of the Company’s</w:t>
        </w:r>
      </w:hyperlink>
      <w:r>
        <w:rPr>
          <w:rFonts w:ascii="Arial" w:cs="Arial" w:eastAsia="Arial" w:hAnsi="Arial"/>
          <w:sz w:val="18"/>
          <w:szCs w:val="18"/>
          <w:u w:val="single" w:color="auto"/>
          <w:color w:val="0000EE"/>
        </w:rPr>
        <w:t xml:space="preserve"> </w:t>
      </w:r>
      <w:hyperlink r:id="rId348">
        <w:r>
          <w:rPr>
            <w:rFonts w:ascii="Arial" w:cs="Arial" w:eastAsia="Arial" w:hAnsi="Arial"/>
            <w:sz w:val="18"/>
            <w:szCs w:val="18"/>
            <w:u w:val="single" w:color="auto"/>
            <w:color w:val="0000EE"/>
          </w:rPr>
          <w:t>Current Report on Form 8-K (File No. 001-08325), filed with the SEC on July 7, 2016</w:t>
        </w:r>
      </w:hyperlink>
    </w:p>
    <w:p>
      <w:pPr>
        <w:spacing w:after="0" w:line="1" w:lineRule="exact"/>
        <w:rPr>
          <w:rFonts w:ascii="Arial" w:cs="Arial" w:eastAsia="Arial" w:hAnsi="Arial"/>
          <w:sz w:val="18"/>
          <w:szCs w:val="18"/>
          <w:u w:val="single" w:color="auto"/>
          <w:color w:val="0000EE"/>
        </w:rPr>
      </w:pPr>
    </w:p>
    <w:p>
      <w:pPr>
        <w:ind w:left="780" w:right="280" w:hanging="670"/>
        <w:spacing w:after="0" w:line="248" w:lineRule="auto"/>
        <w:tabs>
          <w:tab w:leader="none" w:pos="760" w:val="left"/>
        </w:tabs>
        <w:rPr>
          <w:rFonts w:ascii="Arial" w:cs="Arial" w:eastAsia="Arial" w:hAnsi="Arial"/>
          <w:sz w:val="18"/>
          <w:szCs w:val="18"/>
          <w:u w:val="single" w:color="auto"/>
          <w:color w:val="0000EE"/>
        </w:rPr>
      </w:pPr>
      <w:hyperlink r:id="rId349">
        <w:r>
          <w:rPr>
            <w:rFonts w:ascii="Arial" w:cs="Arial" w:eastAsia="Arial" w:hAnsi="Arial"/>
            <w:sz w:val="18"/>
            <w:szCs w:val="18"/>
            <w:u w:val="single" w:color="auto"/>
            <w:color w:val="0000EE"/>
          </w:rPr>
          <w:t>10.19</w:t>
        </w:r>
      </w:hyperlink>
      <w:r>
        <w:rPr>
          <w:rFonts w:ascii="Arial" w:cs="Arial" w:eastAsia="Arial" w:hAnsi="Arial"/>
          <w:sz w:val="18"/>
          <w:szCs w:val="18"/>
          <w:u w:val="single" w:color="auto"/>
          <w:color w:val="0000EE"/>
        </w:rPr>
        <w:tab/>
      </w:r>
      <w:hyperlink r:id="rId349">
        <w:r>
          <w:rPr>
            <w:rFonts w:ascii="Arial" w:cs="Arial" w:eastAsia="Arial" w:hAnsi="Arial"/>
            <w:sz w:val="18"/>
            <w:szCs w:val="18"/>
            <w:u w:val="single" w:color="auto"/>
            <w:color w:val="0000EE"/>
          </w:rPr>
          <w:t>Amended and Restated Employment Agreement, dated January 1, 2017, between the Company and William A. Koertner, incorporated by</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reference to exhibit 10.24 of the Company’s Form 10-K for the year ended December 31, 2016 (File No. 001-08325), filed with the SEC on</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March 9, 2017+</w:t>
        </w:r>
      </w:hyperlink>
    </w:p>
    <w:p>
      <w:pPr>
        <w:spacing w:after="0" w:line="2" w:lineRule="exact"/>
        <w:rPr>
          <w:rFonts w:ascii="Arial" w:cs="Arial" w:eastAsia="Arial" w:hAnsi="Arial"/>
          <w:sz w:val="18"/>
          <w:szCs w:val="18"/>
          <w:u w:val="single" w:color="auto"/>
          <w:color w:val="0000EE"/>
        </w:rPr>
      </w:pPr>
    </w:p>
    <w:p>
      <w:pPr>
        <w:ind w:left="780" w:right="280" w:hanging="670"/>
        <w:spacing w:after="0" w:line="248" w:lineRule="auto"/>
        <w:tabs>
          <w:tab w:leader="none" w:pos="760" w:val="left"/>
        </w:tabs>
        <w:rPr>
          <w:rFonts w:ascii="Arial" w:cs="Arial" w:eastAsia="Arial" w:hAnsi="Arial"/>
          <w:sz w:val="18"/>
          <w:szCs w:val="18"/>
          <w:u w:val="single" w:color="auto"/>
          <w:color w:val="0000EE"/>
        </w:rPr>
      </w:pPr>
      <w:hyperlink r:id="rId350">
        <w:r>
          <w:rPr>
            <w:rFonts w:ascii="Arial" w:cs="Arial" w:eastAsia="Arial" w:hAnsi="Arial"/>
            <w:sz w:val="18"/>
            <w:szCs w:val="18"/>
            <w:u w:val="single" w:color="auto"/>
            <w:color w:val="0000EE"/>
          </w:rPr>
          <w:t>10.20</w:t>
        </w:r>
      </w:hyperlink>
      <w:r>
        <w:rPr>
          <w:rFonts w:ascii="Arial" w:cs="Arial" w:eastAsia="Arial" w:hAnsi="Arial"/>
          <w:sz w:val="18"/>
          <w:szCs w:val="18"/>
          <w:u w:val="single" w:color="auto"/>
          <w:color w:val="0000EE"/>
        </w:rPr>
        <w:tab/>
      </w:r>
      <w:hyperlink r:id="rId350">
        <w:r>
          <w:rPr>
            <w:rFonts w:ascii="Arial" w:cs="Arial" w:eastAsia="Arial" w:hAnsi="Arial"/>
            <w:sz w:val="18"/>
            <w:szCs w:val="18"/>
            <w:u w:val="single" w:color="auto"/>
            <w:color w:val="0000EE"/>
          </w:rPr>
          <w:t>Amendment to the Employment Agreement, dated January 1, 2017, between the Company and Richard S. Swartz, Jr., incorporated by</w:t>
        </w:r>
      </w:hyperlink>
      <w:r>
        <w:rPr>
          <w:rFonts w:ascii="Arial" w:cs="Arial" w:eastAsia="Arial" w:hAnsi="Arial"/>
          <w:sz w:val="18"/>
          <w:szCs w:val="18"/>
          <w:u w:val="single" w:color="auto"/>
          <w:color w:val="0000EE"/>
        </w:rPr>
        <w:t xml:space="preserve"> </w:t>
      </w:r>
      <w:hyperlink r:id="rId350">
        <w:r>
          <w:rPr>
            <w:rFonts w:ascii="Arial" w:cs="Arial" w:eastAsia="Arial" w:hAnsi="Arial"/>
            <w:sz w:val="18"/>
            <w:szCs w:val="18"/>
            <w:u w:val="single" w:color="auto"/>
            <w:color w:val="0000EE"/>
          </w:rPr>
          <w:t>reference to exhibit 10.25 of the Company’s Form 10-K for the year ended December 31, 2016 (File No. 001-08325), filed with the SEC on</w:t>
        </w:r>
      </w:hyperlink>
      <w:r>
        <w:rPr>
          <w:rFonts w:ascii="Arial" w:cs="Arial" w:eastAsia="Arial" w:hAnsi="Arial"/>
          <w:sz w:val="18"/>
          <w:szCs w:val="18"/>
          <w:u w:val="single" w:color="auto"/>
          <w:color w:val="0000EE"/>
        </w:rPr>
        <w:t xml:space="preserve"> </w:t>
      </w:r>
      <w:hyperlink r:id="rId350">
        <w:r>
          <w:rPr>
            <w:rFonts w:ascii="Arial" w:cs="Arial" w:eastAsia="Arial" w:hAnsi="Arial"/>
            <w:sz w:val="18"/>
            <w:szCs w:val="18"/>
            <w:u w:val="single" w:color="auto"/>
            <w:color w:val="0000EE"/>
          </w:rPr>
          <w:t>March 9, 2017+</w:t>
        </w:r>
      </w:hyperlink>
    </w:p>
    <w:p>
      <w:pPr>
        <w:spacing w:after="0" w:line="2" w:lineRule="exact"/>
        <w:rPr>
          <w:rFonts w:ascii="Arial" w:cs="Arial" w:eastAsia="Arial" w:hAnsi="Arial"/>
          <w:sz w:val="18"/>
          <w:szCs w:val="18"/>
          <w:u w:val="single" w:color="auto"/>
          <w:color w:val="0000EE"/>
        </w:rPr>
      </w:pPr>
    </w:p>
    <w:p>
      <w:pPr>
        <w:ind w:left="780" w:right="240" w:hanging="670"/>
        <w:spacing w:after="0" w:line="248" w:lineRule="auto"/>
        <w:tabs>
          <w:tab w:leader="none" w:pos="760" w:val="left"/>
        </w:tabs>
        <w:rPr>
          <w:rFonts w:ascii="Arial" w:cs="Arial" w:eastAsia="Arial" w:hAnsi="Arial"/>
          <w:sz w:val="18"/>
          <w:szCs w:val="18"/>
          <w:u w:val="single" w:color="auto"/>
          <w:color w:val="0000EE"/>
        </w:rPr>
      </w:pPr>
      <w:hyperlink r:id="rId351">
        <w:r>
          <w:rPr>
            <w:rFonts w:ascii="Arial" w:cs="Arial" w:eastAsia="Arial" w:hAnsi="Arial"/>
            <w:sz w:val="18"/>
            <w:szCs w:val="18"/>
            <w:u w:val="single" w:color="auto"/>
            <w:color w:val="0000EE"/>
          </w:rPr>
          <w:t>10.21</w:t>
        </w:r>
      </w:hyperlink>
      <w:r>
        <w:rPr>
          <w:rFonts w:ascii="Arial" w:cs="Arial" w:eastAsia="Arial" w:hAnsi="Arial"/>
          <w:sz w:val="18"/>
          <w:szCs w:val="18"/>
          <w:u w:val="single" w:color="auto"/>
          <w:color w:val="0000EE"/>
        </w:rPr>
        <w:tab/>
      </w:r>
      <w:hyperlink r:id="rId351">
        <w:r>
          <w:rPr>
            <w:rFonts w:ascii="Arial" w:cs="Arial" w:eastAsia="Arial" w:hAnsi="Arial"/>
            <w:sz w:val="18"/>
            <w:szCs w:val="18"/>
            <w:u w:val="single" w:color="auto"/>
            <w:color w:val="0000EE"/>
          </w:rPr>
          <w:t>Amendment to the Employment Agreement, dated January 1, 2017, between the Company and Tod M. Cooper, incorporated by reference to</w:t>
        </w:r>
      </w:hyperlink>
      <w:r>
        <w:rPr>
          <w:rFonts w:ascii="Arial" w:cs="Arial" w:eastAsia="Arial" w:hAnsi="Arial"/>
          <w:sz w:val="18"/>
          <w:szCs w:val="18"/>
          <w:u w:val="single" w:color="auto"/>
          <w:color w:val="0000EE"/>
        </w:rPr>
        <w:t xml:space="preserve"> </w:t>
      </w:r>
      <w:hyperlink r:id="rId351">
        <w:r>
          <w:rPr>
            <w:rFonts w:ascii="Arial" w:cs="Arial" w:eastAsia="Arial" w:hAnsi="Arial"/>
            <w:sz w:val="18"/>
            <w:szCs w:val="18"/>
            <w:u w:val="single" w:color="auto"/>
            <w:color w:val="0000EE"/>
          </w:rPr>
          <w:t>exhibit 10.26 of the Company’s Form 10-K for the year ended December 31, 2016 (File No. 001-08325), filed with the SEC on March 9,</w:t>
        </w:r>
      </w:hyperlink>
      <w:r>
        <w:rPr>
          <w:rFonts w:ascii="Arial" w:cs="Arial" w:eastAsia="Arial" w:hAnsi="Arial"/>
          <w:sz w:val="18"/>
          <w:szCs w:val="18"/>
          <w:u w:val="single" w:color="auto"/>
          <w:color w:val="0000EE"/>
        </w:rPr>
        <w:t xml:space="preserve"> </w:t>
      </w:r>
      <w:hyperlink r:id="rId351">
        <w:r>
          <w:rPr>
            <w:rFonts w:ascii="Arial" w:cs="Arial" w:eastAsia="Arial" w:hAnsi="Arial"/>
            <w:sz w:val="18"/>
            <w:szCs w:val="18"/>
            <w:u w:val="single" w:color="auto"/>
            <w:color w:val="0000EE"/>
          </w:rPr>
          <w:t>2017+</w:t>
        </w:r>
      </w:hyperlink>
    </w:p>
    <w:p>
      <w:pPr>
        <w:spacing w:after="0" w:line="2" w:lineRule="exact"/>
        <w:rPr>
          <w:rFonts w:ascii="Arial" w:cs="Arial" w:eastAsia="Arial" w:hAnsi="Arial"/>
          <w:sz w:val="18"/>
          <w:szCs w:val="18"/>
          <w:u w:val="single" w:color="auto"/>
          <w:color w:val="0000EE"/>
        </w:rPr>
      </w:pPr>
    </w:p>
    <w:p>
      <w:pPr>
        <w:ind w:left="780" w:hanging="670"/>
        <w:spacing w:after="0" w:line="263" w:lineRule="auto"/>
        <w:tabs>
          <w:tab w:leader="none" w:pos="760" w:val="left"/>
        </w:tabs>
        <w:rPr>
          <w:rFonts w:ascii="Arial" w:cs="Arial" w:eastAsia="Arial" w:hAnsi="Arial"/>
          <w:sz w:val="17"/>
          <w:szCs w:val="17"/>
          <w:u w:val="single" w:color="auto"/>
          <w:color w:val="0000EE"/>
        </w:rPr>
      </w:pPr>
      <w:hyperlink r:id="rId352">
        <w:r>
          <w:rPr>
            <w:rFonts w:ascii="Arial" w:cs="Arial" w:eastAsia="Arial" w:hAnsi="Arial"/>
            <w:sz w:val="18"/>
            <w:szCs w:val="18"/>
            <w:u w:val="single" w:color="auto"/>
            <w:color w:val="0000EE"/>
          </w:rPr>
          <w:t>10.22</w:t>
        </w:r>
      </w:hyperlink>
      <w:r>
        <w:rPr>
          <w:rFonts w:ascii="Arial" w:cs="Arial" w:eastAsia="Arial" w:hAnsi="Arial"/>
          <w:sz w:val="18"/>
          <w:szCs w:val="18"/>
          <w:u w:val="single" w:color="auto"/>
          <w:color w:val="0000EE"/>
        </w:rPr>
        <w:tab/>
      </w:r>
      <w:hyperlink r:id="rId352">
        <w:r>
          <w:rPr>
            <w:rFonts w:ascii="Arial" w:cs="Arial" w:eastAsia="Arial" w:hAnsi="Arial"/>
            <w:sz w:val="17"/>
            <w:szCs w:val="17"/>
            <w:u w:val="single" w:color="auto"/>
            <w:color w:val="0000EE"/>
          </w:rPr>
          <w:t>Employment Agreement, dated January 1, 2017, between the Company and Jeffrey J. Waneka, incorporated by reference to exhibit 10.27 of the</w:t>
        </w:r>
      </w:hyperlink>
      <w:r>
        <w:rPr>
          <w:rFonts w:ascii="Arial" w:cs="Arial" w:eastAsia="Arial" w:hAnsi="Arial"/>
          <w:sz w:val="17"/>
          <w:szCs w:val="17"/>
          <w:u w:val="single" w:color="auto"/>
          <w:color w:val="0000EE"/>
        </w:rPr>
        <w:t xml:space="preserve"> </w:t>
      </w:r>
      <w:hyperlink r:id="rId352">
        <w:r>
          <w:rPr>
            <w:rFonts w:ascii="Arial" w:cs="Arial" w:eastAsia="Arial" w:hAnsi="Arial"/>
            <w:sz w:val="17"/>
            <w:szCs w:val="17"/>
            <w:u w:val="single" w:color="auto"/>
            <w:color w:val="0000EE"/>
          </w:rPr>
          <w:t>Company’s Form 10-K for the year ended December 31, 2016 (File No. 001-08325), filed with the SEC on March 9, 2017+</w:t>
        </w:r>
      </w:hyperlink>
    </w:p>
    <w:p>
      <w:pPr>
        <w:spacing w:after="0" w:line="1" w:lineRule="exact"/>
        <w:rPr>
          <w:rFonts w:ascii="Arial" w:cs="Arial" w:eastAsia="Arial" w:hAnsi="Arial"/>
          <w:sz w:val="18"/>
          <w:szCs w:val="18"/>
          <w:u w:val="single" w:color="auto"/>
          <w:color w:val="0000EE"/>
        </w:rPr>
      </w:pPr>
    </w:p>
    <w:p>
      <w:pPr>
        <w:ind w:left="780" w:right="280" w:hanging="670"/>
        <w:spacing w:after="0" w:line="248" w:lineRule="auto"/>
        <w:tabs>
          <w:tab w:leader="none" w:pos="760" w:val="left"/>
        </w:tabs>
        <w:rPr>
          <w:rFonts w:ascii="Arial" w:cs="Arial" w:eastAsia="Arial" w:hAnsi="Arial"/>
          <w:sz w:val="18"/>
          <w:szCs w:val="18"/>
          <w:u w:val="single" w:color="auto"/>
          <w:color w:val="0000EE"/>
        </w:rPr>
      </w:pPr>
      <w:hyperlink r:id="rId353">
        <w:r>
          <w:rPr>
            <w:rFonts w:ascii="Arial" w:cs="Arial" w:eastAsia="Arial" w:hAnsi="Arial"/>
            <w:sz w:val="18"/>
            <w:szCs w:val="18"/>
            <w:u w:val="single" w:color="auto"/>
            <w:color w:val="0000EE"/>
          </w:rPr>
          <w:t>10.23</w:t>
        </w:r>
      </w:hyperlink>
      <w:r>
        <w:rPr>
          <w:rFonts w:ascii="Arial" w:cs="Arial" w:eastAsia="Arial" w:hAnsi="Arial"/>
          <w:sz w:val="18"/>
          <w:szCs w:val="18"/>
          <w:u w:val="single" w:color="auto"/>
          <w:color w:val="0000EE"/>
        </w:rPr>
        <w:tab/>
      </w:r>
      <w:hyperlink r:id="rId353">
        <w:r>
          <w:rPr>
            <w:rFonts w:ascii="Arial" w:cs="Arial" w:eastAsia="Arial" w:hAnsi="Arial"/>
            <w:sz w:val="18"/>
            <w:szCs w:val="18"/>
            <w:u w:val="single" w:color="auto"/>
            <w:color w:val="0000EE"/>
          </w:rPr>
          <w:t>Agreement, dated January 30, 2017, by and among MYR Group Inc., Engine Capital Management, LLC, Engine Capital, L.P., Engine Jet</w:t>
        </w:r>
      </w:hyperlink>
      <w:r>
        <w:rPr>
          <w:rFonts w:ascii="Arial" w:cs="Arial" w:eastAsia="Arial" w:hAnsi="Arial"/>
          <w:sz w:val="18"/>
          <w:szCs w:val="18"/>
          <w:u w:val="single" w:color="auto"/>
          <w:color w:val="0000EE"/>
        </w:rPr>
        <w:t xml:space="preserve"> </w:t>
      </w:r>
      <w:hyperlink r:id="rId353">
        <w:r>
          <w:rPr>
            <w:rFonts w:ascii="Arial" w:cs="Arial" w:eastAsia="Arial" w:hAnsi="Arial"/>
            <w:sz w:val="18"/>
            <w:szCs w:val="18"/>
            <w:u w:val="single" w:color="auto"/>
            <w:color w:val="0000EE"/>
          </w:rPr>
          <w:t>Capital, L.P., Engine Airflow Capital, L.P., Engine Investments, LLC, Engine Investments II, LLC and Bradley Favreau, incorporated by</w:t>
        </w:r>
      </w:hyperlink>
      <w:r>
        <w:rPr>
          <w:rFonts w:ascii="Arial" w:cs="Arial" w:eastAsia="Arial" w:hAnsi="Arial"/>
          <w:sz w:val="18"/>
          <w:szCs w:val="18"/>
          <w:u w:val="single" w:color="auto"/>
          <w:color w:val="0000EE"/>
        </w:rPr>
        <w:t xml:space="preserve"> </w:t>
      </w:r>
      <w:hyperlink r:id="rId353">
        <w:r>
          <w:rPr>
            <w:rFonts w:ascii="Arial" w:cs="Arial" w:eastAsia="Arial" w:hAnsi="Arial"/>
            <w:sz w:val="18"/>
            <w:szCs w:val="18"/>
            <w:u w:val="single" w:color="auto"/>
            <w:color w:val="0000EE"/>
          </w:rPr>
          <w:t>reference to exhibit 10.28 of the Company’s Form 10-K for the year ended December 31, 2016 (File No. 001-08325), filed with the SEC on</w:t>
        </w:r>
      </w:hyperlink>
      <w:r>
        <w:rPr>
          <w:rFonts w:ascii="Arial" w:cs="Arial" w:eastAsia="Arial" w:hAnsi="Arial"/>
          <w:sz w:val="18"/>
          <w:szCs w:val="18"/>
          <w:u w:val="single" w:color="auto"/>
          <w:color w:val="0000EE"/>
        </w:rPr>
        <w:t xml:space="preserve"> </w:t>
      </w:r>
      <w:hyperlink r:id="rId353">
        <w:r>
          <w:rPr>
            <w:rFonts w:ascii="Arial" w:cs="Arial" w:eastAsia="Arial" w:hAnsi="Arial"/>
            <w:sz w:val="18"/>
            <w:szCs w:val="18"/>
            <w:u w:val="single" w:color="auto"/>
            <w:color w:val="0000EE"/>
          </w:rPr>
          <w:t>March 9, 2017</w:t>
        </w:r>
      </w:hyperlink>
    </w:p>
    <w:p>
      <w:pPr>
        <w:spacing w:after="0" w:line="3" w:lineRule="exact"/>
        <w:rPr>
          <w:rFonts w:ascii="Arial" w:cs="Arial" w:eastAsia="Arial" w:hAnsi="Arial"/>
          <w:sz w:val="18"/>
          <w:szCs w:val="18"/>
          <w:u w:val="single" w:color="auto"/>
          <w:color w:val="0000EE"/>
        </w:rPr>
      </w:pPr>
    </w:p>
    <w:p>
      <w:pPr>
        <w:ind w:left="780" w:right="200" w:hanging="670"/>
        <w:spacing w:after="0" w:line="248" w:lineRule="auto"/>
        <w:tabs>
          <w:tab w:leader="none" w:pos="760" w:val="left"/>
        </w:tabs>
        <w:rPr>
          <w:rFonts w:ascii="Arial" w:cs="Arial" w:eastAsia="Arial" w:hAnsi="Arial"/>
          <w:sz w:val="18"/>
          <w:szCs w:val="18"/>
          <w:u w:val="single" w:color="auto"/>
          <w:color w:val="0000EE"/>
        </w:rPr>
      </w:pPr>
      <w:hyperlink r:id="rId354">
        <w:r>
          <w:rPr>
            <w:rFonts w:ascii="Arial" w:cs="Arial" w:eastAsia="Arial" w:hAnsi="Arial"/>
            <w:sz w:val="18"/>
            <w:szCs w:val="18"/>
            <w:u w:val="single" w:color="auto"/>
            <w:color w:val="0000EE"/>
          </w:rPr>
          <w:t>10.24</w:t>
        </w:r>
      </w:hyperlink>
      <w:r>
        <w:rPr>
          <w:rFonts w:ascii="Arial" w:cs="Arial" w:eastAsia="Arial" w:hAnsi="Arial"/>
          <w:sz w:val="18"/>
          <w:szCs w:val="18"/>
          <w:u w:val="single" w:color="auto"/>
          <w:color w:val="0000EE"/>
        </w:rPr>
        <w:tab/>
      </w:r>
      <w:hyperlink r:id="rId354">
        <w:r>
          <w:rPr>
            <w:rFonts w:ascii="Arial" w:cs="Arial" w:eastAsia="Arial" w:hAnsi="Arial"/>
            <w:sz w:val="18"/>
            <w:szCs w:val="18"/>
            <w:u w:val="single" w:color="auto"/>
            <w:color w:val="0000EE"/>
          </w:rPr>
          <w:t>Form of Restricted Stock Award Agreement (Named Executive Officer), incorporated by reference to exhibit 10.1 of the Company’s Current</w:t>
        </w:r>
      </w:hyperlink>
      <w:r>
        <w:rPr>
          <w:rFonts w:ascii="Arial" w:cs="Arial" w:eastAsia="Arial" w:hAnsi="Arial"/>
          <w:sz w:val="18"/>
          <w:szCs w:val="18"/>
          <w:u w:val="single" w:color="auto"/>
          <w:color w:val="0000EE"/>
        </w:rPr>
        <w:t xml:space="preserve"> </w:t>
      </w:r>
      <w:hyperlink r:id="rId354">
        <w:r>
          <w:rPr>
            <w:rFonts w:ascii="Arial" w:cs="Arial" w:eastAsia="Arial" w:hAnsi="Arial"/>
            <w:sz w:val="18"/>
            <w:szCs w:val="18"/>
            <w:u w:val="single" w:color="auto"/>
            <w:color w:val="0000EE"/>
          </w:rPr>
          <w:t>Report on Form 8-K (File No. 001-08325), filed with the SEC on April 28, 2017+</w:t>
        </w:r>
      </w:hyperlink>
    </w:p>
    <w:p>
      <w:pPr>
        <w:spacing w:after="0" w:line="1" w:lineRule="exact"/>
        <w:rPr>
          <w:rFonts w:ascii="Arial" w:cs="Arial" w:eastAsia="Arial" w:hAnsi="Arial"/>
          <w:sz w:val="18"/>
          <w:szCs w:val="18"/>
          <w:u w:val="single" w:color="auto"/>
          <w:color w:val="0000EE"/>
        </w:rPr>
      </w:pPr>
    </w:p>
    <w:p>
      <w:pPr>
        <w:ind w:left="780" w:right="540" w:hanging="670"/>
        <w:spacing w:after="0" w:line="248" w:lineRule="auto"/>
        <w:tabs>
          <w:tab w:leader="none" w:pos="760" w:val="left"/>
        </w:tabs>
        <w:rPr>
          <w:rFonts w:ascii="Arial" w:cs="Arial" w:eastAsia="Arial" w:hAnsi="Arial"/>
          <w:sz w:val="18"/>
          <w:szCs w:val="18"/>
          <w:u w:val="single" w:color="auto"/>
          <w:color w:val="0000EE"/>
        </w:rPr>
      </w:pPr>
      <w:hyperlink r:id="rId355">
        <w:r>
          <w:rPr>
            <w:rFonts w:ascii="Arial" w:cs="Arial" w:eastAsia="Arial" w:hAnsi="Arial"/>
            <w:sz w:val="18"/>
            <w:szCs w:val="18"/>
            <w:u w:val="single" w:color="auto"/>
            <w:color w:val="0000EE"/>
          </w:rPr>
          <w:t>10.25</w:t>
        </w:r>
      </w:hyperlink>
      <w:r>
        <w:rPr>
          <w:rFonts w:ascii="Arial" w:cs="Arial" w:eastAsia="Arial" w:hAnsi="Arial"/>
          <w:sz w:val="18"/>
          <w:szCs w:val="18"/>
          <w:u w:val="single" w:color="auto"/>
          <w:color w:val="0000EE"/>
        </w:rPr>
        <w:tab/>
      </w:r>
      <w:hyperlink r:id="rId355">
        <w:r>
          <w:rPr>
            <w:rFonts w:ascii="Arial" w:cs="Arial" w:eastAsia="Arial" w:hAnsi="Arial"/>
            <w:sz w:val="18"/>
            <w:szCs w:val="18"/>
            <w:u w:val="single" w:color="auto"/>
            <w:color w:val="0000EE"/>
          </w:rPr>
          <w:t>Form of Performance Shares Award Agreement (Named Executive Officer), incorporated by reference to exhibit 10.2 of the Company’s</w:t>
        </w:r>
      </w:hyperlink>
      <w:r>
        <w:rPr>
          <w:rFonts w:ascii="Arial" w:cs="Arial" w:eastAsia="Arial" w:hAnsi="Arial"/>
          <w:sz w:val="18"/>
          <w:szCs w:val="18"/>
          <w:u w:val="single" w:color="auto"/>
          <w:color w:val="0000EE"/>
        </w:rPr>
        <w:t xml:space="preserve"> </w:t>
      </w:r>
      <w:hyperlink r:id="rId355">
        <w:r>
          <w:rPr>
            <w:rFonts w:ascii="Arial" w:cs="Arial" w:eastAsia="Arial" w:hAnsi="Arial"/>
            <w:sz w:val="18"/>
            <w:szCs w:val="18"/>
            <w:u w:val="single" w:color="auto"/>
            <w:color w:val="0000EE"/>
          </w:rPr>
          <w:t>Current Report on Form 8-K (File No. 001-08325), filed with the SEC on April 28, 2017+</w:t>
        </w:r>
      </w:hyperlink>
    </w:p>
    <w:p>
      <w:pPr>
        <w:spacing w:after="0" w:line="1" w:lineRule="exact"/>
        <w:rPr>
          <w:rFonts w:ascii="Arial" w:cs="Arial" w:eastAsia="Arial" w:hAnsi="Arial"/>
          <w:sz w:val="18"/>
          <w:szCs w:val="18"/>
          <w:u w:val="single" w:color="auto"/>
          <w:color w:val="0000EE"/>
        </w:rPr>
      </w:pPr>
    </w:p>
    <w:p>
      <w:pPr>
        <w:ind w:left="780" w:right="460" w:hanging="670"/>
        <w:spacing w:after="0" w:line="248" w:lineRule="auto"/>
        <w:tabs>
          <w:tab w:leader="none" w:pos="760" w:val="left"/>
        </w:tabs>
        <w:rPr>
          <w:rFonts w:ascii="Arial" w:cs="Arial" w:eastAsia="Arial" w:hAnsi="Arial"/>
          <w:sz w:val="18"/>
          <w:szCs w:val="18"/>
          <w:u w:val="single" w:color="auto"/>
          <w:color w:val="0000EE"/>
        </w:rPr>
      </w:pPr>
      <w:hyperlink r:id="rId356">
        <w:r>
          <w:rPr>
            <w:rFonts w:ascii="Arial" w:cs="Arial" w:eastAsia="Arial" w:hAnsi="Arial"/>
            <w:sz w:val="18"/>
            <w:szCs w:val="18"/>
            <w:u w:val="single" w:color="auto"/>
            <w:color w:val="0000EE"/>
          </w:rPr>
          <w:t>10.26</w:t>
        </w:r>
      </w:hyperlink>
      <w:r>
        <w:rPr>
          <w:rFonts w:ascii="Arial" w:cs="Arial" w:eastAsia="Arial" w:hAnsi="Arial"/>
          <w:sz w:val="18"/>
          <w:szCs w:val="18"/>
          <w:u w:val="single" w:color="auto"/>
          <w:color w:val="0000EE"/>
        </w:rPr>
        <w:tab/>
      </w:r>
      <w:hyperlink r:id="rId356">
        <w:r>
          <w:rPr>
            <w:rFonts w:ascii="Arial" w:cs="Arial" w:eastAsia="Arial" w:hAnsi="Arial"/>
            <w:sz w:val="18"/>
            <w:szCs w:val="18"/>
            <w:u w:val="single" w:color="auto"/>
            <w:color w:val="0000EE"/>
          </w:rPr>
          <w:t>Form of Restricted Stock Units Award Agreement (Non-Employee Director), incorporated by reference to exhibit 10.3 of the Company’s</w:t>
        </w:r>
      </w:hyperlink>
      <w:r>
        <w:rPr>
          <w:rFonts w:ascii="Arial" w:cs="Arial" w:eastAsia="Arial" w:hAnsi="Arial"/>
          <w:sz w:val="18"/>
          <w:szCs w:val="18"/>
          <w:u w:val="single" w:color="auto"/>
          <w:color w:val="0000EE"/>
        </w:rPr>
        <w:t xml:space="preserve"> </w:t>
      </w:r>
      <w:hyperlink r:id="rId356">
        <w:r>
          <w:rPr>
            <w:rFonts w:ascii="Arial" w:cs="Arial" w:eastAsia="Arial" w:hAnsi="Arial"/>
            <w:sz w:val="18"/>
            <w:szCs w:val="18"/>
            <w:u w:val="single" w:color="auto"/>
            <w:color w:val="0000EE"/>
          </w:rPr>
          <w:t>Current Report on Form 8-K (File No. 001-08325), filed with the SEC on April 28, 2017+</w:t>
        </w:r>
      </w:hyperlink>
    </w:p>
    <w:p>
      <w:pPr>
        <w:spacing w:after="0" w:line="1" w:lineRule="exact"/>
        <w:rPr>
          <w:rFonts w:ascii="Arial" w:cs="Arial" w:eastAsia="Arial" w:hAnsi="Arial"/>
          <w:sz w:val="18"/>
          <w:szCs w:val="18"/>
          <w:u w:val="single" w:color="auto"/>
          <w:color w:val="0000EE"/>
        </w:rPr>
      </w:pPr>
    </w:p>
    <w:p>
      <w:pPr>
        <w:ind w:left="780" w:right="260" w:hanging="670"/>
        <w:spacing w:after="0" w:line="248" w:lineRule="auto"/>
        <w:tabs>
          <w:tab w:leader="none" w:pos="760" w:val="left"/>
        </w:tabs>
        <w:rPr>
          <w:rFonts w:ascii="Arial" w:cs="Arial" w:eastAsia="Arial" w:hAnsi="Arial"/>
          <w:sz w:val="18"/>
          <w:szCs w:val="18"/>
          <w:u w:val="single" w:color="auto"/>
          <w:color w:val="0000EE"/>
        </w:rPr>
      </w:pPr>
      <w:hyperlink r:id="rId357">
        <w:r>
          <w:rPr>
            <w:rFonts w:ascii="Arial" w:cs="Arial" w:eastAsia="Arial" w:hAnsi="Arial"/>
            <w:sz w:val="18"/>
            <w:szCs w:val="18"/>
            <w:u w:val="single" w:color="auto"/>
            <w:color w:val="0000EE"/>
          </w:rPr>
          <w:t>10.27</w:t>
        </w:r>
      </w:hyperlink>
      <w:r>
        <w:rPr>
          <w:rFonts w:ascii="Arial" w:cs="Arial" w:eastAsia="Arial" w:hAnsi="Arial"/>
          <w:sz w:val="18"/>
          <w:szCs w:val="18"/>
          <w:u w:val="single" w:color="auto"/>
          <w:color w:val="0000EE"/>
        </w:rPr>
        <w:tab/>
      </w:r>
      <w:hyperlink r:id="rId357">
        <w:r>
          <w:rPr>
            <w:rFonts w:ascii="Arial" w:cs="Arial" w:eastAsia="Arial" w:hAnsi="Arial"/>
            <w:sz w:val="18"/>
            <w:szCs w:val="18"/>
            <w:u w:val="single" w:color="auto"/>
            <w:color w:val="0000EE"/>
          </w:rPr>
          <w:t>Form of Restricted Stock Units Award Agreement (Director), incorporated by reference to exhibit 10.4 of the Company’s Current Report on</w:t>
        </w:r>
      </w:hyperlink>
      <w:r>
        <w:rPr>
          <w:rFonts w:ascii="Arial" w:cs="Arial" w:eastAsia="Arial" w:hAnsi="Arial"/>
          <w:sz w:val="18"/>
          <w:szCs w:val="18"/>
          <w:u w:val="single" w:color="auto"/>
          <w:color w:val="0000EE"/>
        </w:rPr>
        <w:t xml:space="preserve"> </w:t>
      </w:r>
      <w:hyperlink r:id="rId357">
        <w:r>
          <w:rPr>
            <w:rFonts w:ascii="Arial" w:cs="Arial" w:eastAsia="Arial" w:hAnsi="Arial"/>
            <w:sz w:val="18"/>
            <w:szCs w:val="18"/>
            <w:u w:val="single" w:color="auto"/>
            <w:color w:val="0000EE"/>
          </w:rPr>
          <w:t>Form 8-K (File No. 001-08325), filed with the SEC on April 28, 2017+</w:t>
        </w:r>
      </w:hyperlink>
    </w:p>
    <w:p>
      <w:pPr>
        <w:spacing w:after="0" w:line="1" w:lineRule="exact"/>
        <w:rPr>
          <w:rFonts w:ascii="Arial" w:cs="Arial" w:eastAsia="Arial" w:hAnsi="Arial"/>
          <w:sz w:val="18"/>
          <w:szCs w:val="18"/>
          <w:u w:val="single" w:color="auto"/>
          <w:color w:val="0000EE"/>
        </w:rPr>
      </w:pPr>
    </w:p>
    <w:p>
      <w:pPr>
        <w:ind w:left="780" w:right="80" w:hanging="670"/>
        <w:spacing w:after="0" w:line="248" w:lineRule="auto"/>
        <w:tabs>
          <w:tab w:leader="none" w:pos="760" w:val="left"/>
        </w:tabs>
        <w:rPr>
          <w:rFonts w:ascii="Arial" w:cs="Arial" w:eastAsia="Arial" w:hAnsi="Arial"/>
          <w:sz w:val="18"/>
          <w:szCs w:val="18"/>
          <w:u w:val="single" w:color="auto"/>
          <w:color w:val="0000EE"/>
        </w:rPr>
      </w:pPr>
      <w:hyperlink r:id="rId358">
        <w:r>
          <w:rPr>
            <w:rFonts w:ascii="Arial" w:cs="Arial" w:eastAsia="Arial" w:hAnsi="Arial"/>
            <w:sz w:val="18"/>
            <w:szCs w:val="18"/>
            <w:u w:val="single" w:color="auto"/>
            <w:color w:val="0000EE"/>
          </w:rPr>
          <w:t>10.28</w:t>
        </w:r>
      </w:hyperlink>
      <w:r>
        <w:rPr>
          <w:rFonts w:ascii="Arial" w:cs="Arial" w:eastAsia="Arial" w:hAnsi="Arial"/>
          <w:sz w:val="18"/>
          <w:szCs w:val="18"/>
          <w:u w:val="single" w:color="auto"/>
          <w:color w:val="0000EE"/>
        </w:rPr>
        <w:tab/>
      </w:r>
      <w:hyperlink r:id="rId358">
        <w:r>
          <w:rPr>
            <w:rFonts w:ascii="Arial" w:cs="Arial" w:eastAsia="Arial" w:hAnsi="Arial"/>
            <w:sz w:val="18"/>
            <w:szCs w:val="18"/>
            <w:u w:val="single" w:color="auto"/>
            <w:color w:val="0000EE"/>
          </w:rPr>
          <w:t>Amendment to the Amended and Restated Employment Agreement, dated April 11, 2017, between the Company and Richard S. Swartz, Jr.,</w:t>
        </w:r>
      </w:hyperlink>
      <w:r>
        <w:rPr>
          <w:rFonts w:ascii="Arial" w:cs="Arial" w:eastAsia="Arial" w:hAnsi="Arial"/>
          <w:sz w:val="18"/>
          <w:szCs w:val="18"/>
          <w:u w:val="single" w:color="auto"/>
          <w:color w:val="0000EE"/>
        </w:rPr>
        <w:t xml:space="preserve"> </w:t>
      </w:r>
      <w:hyperlink r:id="rId358">
        <w:r>
          <w:rPr>
            <w:rFonts w:ascii="Arial" w:cs="Arial" w:eastAsia="Arial" w:hAnsi="Arial"/>
            <w:sz w:val="18"/>
            <w:szCs w:val="18"/>
            <w:u w:val="single" w:color="auto"/>
            <w:color w:val="0000EE"/>
          </w:rPr>
          <w:t>incorporated by reference to exhibit 10.1 of the Company’s Current Report on Form 10-Q (File No. 001-08325), filed with the SEC on May 3,</w:t>
        </w:r>
      </w:hyperlink>
      <w:r>
        <w:rPr>
          <w:rFonts w:ascii="Arial" w:cs="Arial" w:eastAsia="Arial" w:hAnsi="Arial"/>
          <w:sz w:val="18"/>
          <w:szCs w:val="18"/>
          <w:u w:val="single" w:color="auto"/>
          <w:color w:val="0000EE"/>
        </w:rPr>
        <w:t xml:space="preserve"> </w:t>
      </w:r>
      <w:hyperlink r:id="rId358">
        <w:r>
          <w:rPr>
            <w:rFonts w:ascii="Arial" w:cs="Arial" w:eastAsia="Arial" w:hAnsi="Arial"/>
            <w:sz w:val="18"/>
            <w:szCs w:val="18"/>
            <w:u w:val="single" w:color="auto"/>
            <w:color w:val="0000EE"/>
          </w:rPr>
          <w:t>2017+</w:t>
        </w:r>
      </w:hyperlink>
    </w:p>
    <w:p>
      <w:pPr>
        <w:spacing w:after="0" w:line="2" w:lineRule="exact"/>
        <w:rPr>
          <w:rFonts w:ascii="Arial" w:cs="Arial" w:eastAsia="Arial" w:hAnsi="Arial"/>
          <w:sz w:val="18"/>
          <w:szCs w:val="18"/>
          <w:u w:val="single" w:color="auto"/>
          <w:color w:val="0000EE"/>
        </w:rPr>
      </w:pPr>
    </w:p>
    <w:p>
      <w:pPr>
        <w:ind w:left="120"/>
        <w:spacing w:after="0"/>
        <w:tabs>
          <w:tab w:leader="none" w:pos="760" w:val="left"/>
        </w:tabs>
        <w:rPr>
          <w:rFonts w:ascii="Arial" w:cs="Arial" w:eastAsia="Arial" w:hAnsi="Arial"/>
          <w:sz w:val="16"/>
          <w:szCs w:val="16"/>
          <w:u w:val="single" w:color="auto"/>
          <w:color w:val="0000EE"/>
        </w:rPr>
      </w:pPr>
      <w:hyperlink w:anchor="page99">
        <w:r>
          <w:rPr>
            <w:rFonts w:ascii="Arial" w:cs="Arial" w:eastAsia="Arial" w:hAnsi="Arial"/>
            <w:sz w:val="18"/>
            <w:szCs w:val="18"/>
            <w:u w:val="single" w:color="auto"/>
            <w:color w:val="0000EE"/>
          </w:rPr>
          <w:t>21.1</w:t>
        </w:r>
      </w:hyperlink>
      <w:r>
        <w:rPr>
          <w:rFonts w:ascii="Arial" w:cs="Arial" w:eastAsia="Arial" w:hAnsi="Arial"/>
          <w:sz w:val="18"/>
          <w:szCs w:val="18"/>
          <w:u w:val="single" w:color="auto"/>
          <w:color w:val="0000EE"/>
        </w:rPr>
        <w:tab/>
      </w:r>
      <w:hyperlink w:anchor="page99">
        <w:r>
          <w:rPr>
            <w:rFonts w:ascii="Arial" w:cs="Arial" w:eastAsia="Arial" w:hAnsi="Arial"/>
            <w:sz w:val="16"/>
            <w:szCs w:val="16"/>
            <w:u w:val="single" w:color="auto"/>
            <w:color w:val="0000EE"/>
          </w:rPr>
          <w:t>List of Subsidiaries†</w:t>
        </w:r>
      </w:hyperlink>
    </w:p>
    <w:p>
      <w:pPr>
        <w:spacing w:after="0" w:line="8"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hyperlink w:anchor="page100">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100">
        <w:r>
          <w:rPr>
            <w:rFonts w:ascii="Arial" w:cs="Arial" w:eastAsia="Arial" w:hAnsi="Arial"/>
            <w:sz w:val="16"/>
            <w:szCs w:val="16"/>
            <w:u w:val="single" w:color="auto"/>
            <w:color w:val="0000EE"/>
          </w:rPr>
          <w:t>Consent of Crowe Horwath LLP†</w:t>
        </w:r>
      </w:hyperlink>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40"/>
          </w:cols>
          <w:pgMar w:left="380" w:top="787" w:right="479" w:bottom="1440" w:gutter="0" w:footer="0" w:header="0"/>
        </w:sectPr>
      </w:pPr>
    </w:p>
    <w:bookmarkStart w:id="96" w:name="page97"/>
    <w:bookmarkEnd w:id="9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3651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5365115"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580" w:type="dxa"/>
            <w:vAlign w:val="bottom"/>
            <w:tcBorders>
              <w:bottom w:val="single" w:sz="8" w:color="auto"/>
            </w:tcBorders>
            <w:gridSpan w:val="3"/>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168"/>
        </w:trPr>
        <w:tc>
          <w:tcPr>
            <w:tcW w:w="300" w:type="dxa"/>
            <w:vAlign w:val="bottom"/>
          </w:tcPr>
          <w:p>
            <w:pPr>
              <w:spacing w:after="0"/>
              <w:rPr>
                <w:sz w:val="14"/>
                <w:szCs w:val="14"/>
                <w:color w:val="auto"/>
              </w:rPr>
            </w:pPr>
          </w:p>
        </w:tc>
        <w:tc>
          <w:tcPr>
            <w:tcW w:w="400" w:type="dxa"/>
            <w:vAlign w:val="bottom"/>
          </w:tcPr>
          <w:p>
            <w:pPr>
              <w:jc w:val="right"/>
              <w:spacing w:after="0" w:line="168" w:lineRule="exact"/>
              <w:rPr>
                <w:rFonts w:ascii="Arial" w:cs="Arial" w:eastAsia="Arial" w:hAnsi="Arial"/>
                <w:sz w:val="18"/>
                <w:szCs w:val="18"/>
                <w:color w:val="0000EE"/>
                <w:w w:val="85"/>
              </w:rPr>
            </w:pPr>
            <w:hyperlink w:anchor="page10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40" w:type="dxa"/>
            <w:vAlign w:val="bottom"/>
            <w:gridSpan w:val="6"/>
          </w:tcPr>
          <w:p>
            <w:pPr>
              <w:ind w:left="20"/>
              <w:spacing w:after="0" w:line="168" w:lineRule="exact"/>
              <w:rPr>
                <w:rFonts w:ascii="Arial" w:cs="Arial" w:eastAsia="Arial" w:hAnsi="Arial"/>
                <w:sz w:val="18"/>
                <w:szCs w:val="18"/>
                <w:color w:val="0000EE"/>
              </w:rPr>
            </w:pPr>
            <w:hyperlink w:anchor="page101">
              <w:r>
                <w:rPr>
                  <w:rFonts w:ascii="Arial" w:cs="Arial" w:eastAsia="Arial" w:hAnsi="Arial"/>
                  <w:sz w:val="18"/>
                  <w:szCs w:val="18"/>
                  <w:color w:val="0000EE"/>
                </w:rPr>
                <w:t>Consent of Ernst &amp; Young LLP†</w:t>
              </w:r>
            </w:hyperlink>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5"/>
        </w:trPr>
        <w:tc>
          <w:tcPr>
            <w:tcW w:w="300" w:type="dxa"/>
            <w:vAlign w:val="bottom"/>
          </w:tcPr>
          <w:p>
            <w:pPr>
              <w:spacing w:after="0"/>
              <w:rPr>
                <w:sz w:val="16"/>
                <w:szCs w:val="16"/>
                <w:color w:val="auto"/>
              </w:rPr>
            </w:pPr>
          </w:p>
        </w:tc>
        <w:tc>
          <w:tcPr>
            <w:tcW w:w="400" w:type="dxa"/>
            <w:vAlign w:val="bottom"/>
          </w:tcPr>
          <w:p>
            <w:pPr>
              <w:jc w:val="right"/>
              <w:spacing w:after="0" w:line="195" w:lineRule="exact"/>
              <w:rPr>
                <w:rFonts w:ascii="Arial" w:cs="Arial" w:eastAsia="Arial" w:hAnsi="Arial"/>
                <w:sz w:val="18"/>
                <w:szCs w:val="18"/>
                <w:color w:val="0000EE"/>
                <w:w w:val="85"/>
              </w:rPr>
            </w:pPr>
            <w:hyperlink w:anchor="page98">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6"/>
          </w:tcPr>
          <w:p>
            <w:pPr>
              <w:ind w:left="20"/>
              <w:spacing w:after="0" w:line="195" w:lineRule="exact"/>
              <w:rPr>
                <w:rFonts w:ascii="Arial" w:cs="Arial" w:eastAsia="Arial" w:hAnsi="Arial"/>
                <w:sz w:val="18"/>
                <w:szCs w:val="18"/>
                <w:color w:val="0000EE"/>
              </w:rPr>
            </w:pPr>
            <w:hyperlink w:anchor="page98">
              <w:r>
                <w:rPr>
                  <w:rFonts w:ascii="Arial" w:cs="Arial" w:eastAsia="Arial" w:hAnsi="Arial"/>
                  <w:sz w:val="18"/>
                  <w:szCs w:val="18"/>
                  <w:color w:val="0000EE"/>
                </w:rPr>
                <w:t>Power of Attorney†</w:t>
              </w:r>
            </w:hyperlink>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5"/>
        </w:trPr>
        <w:tc>
          <w:tcPr>
            <w:tcW w:w="300" w:type="dxa"/>
            <w:vAlign w:val="bottom"/>
          </w:tcPr>
          <w:p>
            <w:pPr>
              <w:spacing w:after="0"/>
              <w:rPr>
                <w:sz w:val="16"/>
                <w:szCs w:val="16"/>
                <w:color w:val="auto"/>
              </w:rPr>
            </w:pPr>
          </w:p>
        </w:tc>
        <w:tc>
          <w:tcPr>
            <w:tcW w:w="400" w:type="dxa"/>
            <w:vAlign w:val="bottom"/>
          </w:tcPr>
          <w:p>
            <w:pPr>
              <w:jc w:val="right"/>
              <w:spacing w:after="0" w:line="195" w:lineRule="exact"/>
              <w:rPr>
                <w:rFonts w:ascii="Arial" w:cs="Arial" w:eastAsia="Arial" w:hAnsi="Arial"/>
                <w:sz w:val="18"/>
                <w:szCs w:val="18"/>
                <w:color w:val="0000EE"/>
                <w:w w:val="85"/>
              </w:rPr>
            </w:pPr>
            <w:hyperlink w:anchor="page104">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6"/>
          </w:tcPr>
          <w:p>
            <w:pPr>
              <w:ind w:left="20"/>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Certification of Chief Executive Officer pursuant to SEC Rule 13a-14(a)/15d-14(a)†</w:t>
              </w:r>
            </w:hyperlink>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3940" w:type="dxa"/>
            <w:vAlign w:val="bottom"/>
            <w:tcBorders>
              <w:left w:val="single" w:sz="8" w:color="0000EE"/>
            </w:tcBorders>
          </w:tcPr>
          <w:p>
            <w:pPr>
              <w:spacing w:after="0" w:line="20" w:lineRule="exact"/>
              <w:rPr>
                <w:sz w:val="1"/>
                <w:szCs w:val="1"/>
                <w:color w:val="auto"/>
              </w:rPr>
            </w:pPr>
          </w:p>
        </w:tc>
      </w:tr>
      <w:tr>
        <w:trPr>
          <w:trHeight w:val="195"/>
        </w:trPr>
        <w:tc>
          <w:tcPr>
            <w:tcW w:w="300" w:type="dxa"/>
            <w:vAlign w:val="bottom"/>
          </w:tcPr>
          <w:p>
            <w:pPr>
              <w:spacing w:after="0"/>
              <w:rPr>
                <w:sz w:val="16"/>
                <w:szCs w:val="16"/>
                <w:color w:val="auto"/>
              </w:rPr>
            </w:pPr>
          </w:p>
        </w:tc>
        <w:tc>
          <w:tcPr>
            <w:tcW w:w="400" w:type="dxa"/>
            <w:vAlign w:val="bottom"/>
          </w:tcPr>
          <w:p>
            <w:pPr>
              <w:jc w:val="right"/>
              <w:spacing w:after="0" w:line="195" w:lineRule="exact"/>
              <w:rPr>
                <w:rFonts w:ascii="Arial" w:cs="Arial" w:eastAsia="Arial" w:hAnsi="Arial"/>
                <w:sz w:val="18"/>
                <w:szCs w:val="18"/>
                <w:color w:val="0000EE"/>
                <w:w w:val="85"/>
              </w:rPr>
            </w:pPr>
            <w:hyperlink w:anchor="page105">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6"/>
          </w:tcPr>
          <w:p>
            <w:pPr>
              <w:ind w:left="20"/>
              <w:spacing w:after="0" w:line="195" w:lineRule="exact"/>
              <w:rPr>
                <w:rFonts w:ascii="Arial" w:cs="Arial" w:eastAsia="Arial" w:hAnsi="Arial"/>
                <w:sz w:val="18"/>
                <w:szCs w:val="18"/>
                <w:color w:val="0000EE"/>
              </w:rPr>
            </w:pPr>
            <w:hyperlink w:anchor="page105">
              <w:r>
                <w:rPr>
                  <w:rFonts w:ascii="Arial" w:cs="Arial" w:eastAsia="Arial" w:hAnsi="Arial"/>
                  <w:sz w:val="18"/>
                  <w:szCs w:val="18"/>
                  <w:color w:val="0000EE"/>
                </w:rPr>
                <w:t>Certification of Chief Financial Officer pursuant to SEC Rule 13a-14(a)/15d-14(a)†</w:t>
              </w:r>
            </w:hyperlink>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5"/>
        </w:trPr>
        <w:tc>
          <w:tcPr>
            <w:tcW w:w="300" w:type="dxa"/>
            <w:vAlign w:val="bottom"/>
          </w:tcPr>
          <w:p>
            <w:pPr>
              <w:spacing w:after="0"/>
              <w:rPr>
                <w:sz w:val="16"/>
                <w:szCs w:val="16"/>
                <w:color w:val="auto"/>
              </w:rPr>
            </w:pPr>
          </w:p>
        </w:tc>
        <w:tc>
          <w:tcPr>
            <w:tcW w:w="400" w:type="dxa"/>
            <w:vAlign w:val="bottom"/>
          </w:tcPr>
          <w:p>
            <w:pPr>
              <w:jc w:val="right"/>
              <w:spacing w:after="0" w:line="195" w:lineRule="exact"/>
              <w:rPr>
                <w:rFonts w:ascii="Arial" w:cs="Arial" w:eastAsia="Arial" w:hAnsi="Arial"/>
                <w:sz w:val="18"/>
                <w:szCs w:val="18"/>
                <w:color w:val="0000EE"/>
                <w:w w:val="85"/>
              </w:rPr>
            </w:pPr>
            <w:hyperlink w:anchor="page106">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6"/>
          </w:tcPr>
          <w:p>
            <w:pPr>
              <w:ind w:left="20"/>
              <w:spacing w:after="0" w:line="195" w:lineRule="exact"/>
              <w:rPr>
                <w:rFonts w:ascii="Arial" w:cs="Arial" w:eastAsia="Arial" w:hAnsi="Arial"/>
                <w:sz w:val="18"/>
                <w:szCs w:val="18"/>
                <w:color w:val="0000EE"/>
              </w:rPr>
            </w:pPr>
            <w:hyperlink w:anchor="page106">
              <w:r>
                <w:rPr>
                  <w:rFonts w:ascii="Arial" w:cs="Arial" w:eastAsia="Arial" w:hAnsi="Arial"/>
                  <w:sz w:val="18"/>
                  <w:szCs w:val="18"/>
                  <w:color w:val="0000EE"/>
                </w:rPr>
                <w:t>Certification of Chief Executive Officer pursuant to 18 U.S.C. §1350†</w:t>
              </w:r>
            </w:hyperlink>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4940" w:type="dxa"/>
            <w:vAlign w:val="bottom"/>
            <w:tcBorders>
              <w:left w:val="single" w:sz="8" w:color="0000EE"/>
            </w:tcBorders>
            <w:gridSpan w:val="2"/>
          </w:tcPr>
          <w:p>
            <w:pPr>
              <w:spacing w:after="0" w:line="20" w:lineRule="exact"/>
              <w:rPr>
                <w:sz w:val="1"/>
                <w:szCs w:val="1"/>
                <w:color w:val="auto"/>
              </w:rPr>
            </w:pPr>
          </w:p>
        </w:tc>
      </w:tr>
      <w:tr>
        <w:trPr>
          <w:trHeight w:val="195"/>
        </w:trPr>
        <w:tc>
          <w:tcPr>
            <w:tcW w:w="300" w:type="dxa"/>
            <w:vAlign w:val="bottom"/>
          </w:tcPr>
          <w:p>
            <w:pPr>
              <w:spacing w:after="0"/>
              <w:rPr>
                <w:sz w:val="16"/>
                <w:szCs w:val="16"/>
                <w:color w:val="auto"/>
              </w:rPr>
            </w:pPr>
          </w:p>
        </w:tc>
        <w:tc>
          <w:tcPr>
            <w:tcW w:w="400" w:type="dxa"/>
            <w:vAlign w:val="bottom"/>
          </w:tcPr>
          <w:p>
            <w:pPr>
              <w:jc w:val="right"/>
              <w:spacing w:after="0" w:line="195" w:lineRule="exact"/>
              <w:rPr>
                <w:rFonts w:ascii="Arial" w:cs="Arial" w:eastAsia="Arial" w:hAnsi="Arial"/>
                <w:sz w:val="18"/>
                <w:szCs w:val="18"/>
                <w:color w:val="0000EE"/>
                <w:w w:val="85"/>
              </w:rPr>
            </w:pPr>
            <w:hyperlink w:anchor="page107">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6"/>
          </w:tcPr>
          <w:p>
            <w:pPr>
              <w:ind w:left="20"/>
              <w:spacing w:after="0" w:line="195" w:lineRule="exact"/>
              <w:rPr>
                <w:rFonts w:ascii="Arial" w:cs="Arial" w:eastAsia="Arial" w:hAnsi="Arial"/>
                <w:sz w:val="18"/>
                <w:szCs w:val="18"/>
                <w:color w:val="0000EE"/>
              </w:rPr>
            </w:pPr>
            <w:hyperlink w:anchor="page107">
              <w:r>
                <w:rPr>
                  <w:rFonts w:ascii="Arial" w:cs="Arial" w:eastAsia="Arial" w:hAnsi="Arial"/>
                  <w:sz w:val="18"/>
                  <w:szCs w:val="18"/>
                  <w:color w:val="0000EE"/>
                </w:rPr>
                <w:t>Certification of Chief Financial Officer pursuant to 18 U.S.C. §1350†</w:t>
              </w:r>
            </w:hyperlink>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r>
      <w:tr>
        <w:trPr>
          <w:trHeight w:val="220"/>
        </w:trPr>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19"/>
                <w:szCs w:val="19"/>
                <w:color w:val="auto"/>
              </w:rPr>
            </w:pPr>
          </w:p>
        </w:tc>
        <w:tc>
          <w:tcPr>
            <w:tcW w:w="9940" w:type="dxa"/>
            <w:vAlign w:val="bottom"/>
            <w:gridSpan w:val="6"/>
          </w:tcPr>
          <w:p>
            <w:pPr>
              <w:ind w:left="20"/>
              <w:spacing w:after="0"/>
              <w:rPr>
                <w:sz w:val="20"/>
                <w:szCs w:val="20"/>
                <w:color w:val="auto"/>
              </w:rPr>
            </w:pPr>
            <w:r>
              <w:rPr>
                <w:rFonts w:ascii="Arial" w:cs="Arial" w:eastAsia="Arial" w:hAnsi="Arial"/>
                <w:sz w:val="18"/>
                <w:szCs w:val="18"/>
                <w:color w:val="auto"/>
              </w:rPr>
              <w:t>XBRL Instance Document*</w:t>
            </w:r>
          </w:p>
        </w:tc>
      </w:tr>
      <w:tr>
        <w:trPr>
          <w:trHeight w:val="215"/>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18"/>
                <w:szCs w:val="18"/>
                <w:color w:val="auto"/>
              </w:rPr>
            </w:pPr>
          </w:p>
        </w:tc>
        <w:tc>
          <w:tcPr>
            <w:tcW w:w="99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18"/>
                <w:szCs w:val="18"/>
                <w:color w:val="auto"/>
              </w:rPr>
            </w:pPr>
          </w:p>
        </w:tc>
        <w:tc>
          <w:tcPr>
            <w:tcW w:w="99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5"/>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0"/>
              </w:rPr>
              <w:t>101.DEF</w:t>
            </w:r>
          </w:p>
        </w:tc>
        <w:tc>
          <w:tcPr>
            <w:tcW w:w="160" w:type="dxa"/>
            <w:vAlign w:val="bottom"/>
          </w:tcPr>
          <w:p>
            <w:pPr>
              <w:spacing w:after="0"/>
              <w:rPr>
                <w:sz w:val="18"/>
                <w:szCs w:val="18"/>
                <w:color w:val="auto"/>
              </w:rPr>
            </w:pPr>
          </w:p>
        </w:tc>
        <w:tc>
          <w:tcPr>
            <w:tcW w:w="99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5"/>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18"/>
                <w:szCs w:val="18"/>
                <w:color w:val="auto"/>
              </w:rPr>
            </w:pPr>
          </w:p>
        </w:tc>
        <w:tc>
          <w:tcPr>
            <w:tcW w:w="99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27"/>
        </w:trPr>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19"/>
                <w:szCs w:val="19"/>
                <w:color w:val="auto"/>
              </w:rPr>
            </w:pPr>
          </w:p>
        </w:tc>
        <w:tc>
          <w:tcPr>
            <w:tcW w:w="99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171450</wp:posOffset>
            </wp:positionV>
            <wp:extent cx="6134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300" w:hanging="274"/>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5" w:lineRule="exact"/>
        <w:rPr>
          <w:sz w:val="20"/>
          <w:szCs w:val="20"/>
          <w:color w:val="auto"/>
        </w:rPr>
      </w:pPr>
    </w:p>
    <w:p>
      <w:pPr>
        <w:ind w:left="20" w:right="5800" w:firstLine="6"/>
        <w:spacing w:after="0" w:line="396" w:lineRule="auto"/>
        <w:tabs>
          <w:tab w:leader="none" w:pos="2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Electronically filed.</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97" w:name="page98"/>
    <w:bookmarkEnd w:id="9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left="180" w:right="140" w:firstLine="268"/>
        <w:spacing w:after="0" w:line="27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57569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5756910" cy="8255"/>
                    </a:xfrm>
                    <a:prstGeom prst="rect">
                      <a:avLst/>
                    </a:prstGeom>
                    <a:noFill/>
                  </pic:spPr>
                </pic:pic>
              </a:graphicData>
            </a:graphic>
          </wp:anchor>
        </w:drawing>
      </w:r>
    </w:p>
    <w:p>
      <w:pPr>
        <w:spacing w:after="0" w:line="1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(Registrant)</w:t>
      </w:r>
    </w:p>
    <w:p>
      <w:pPr>
        <w:spacing w:after="0" w:line="8" w:lineRule="exact"/>
        <w:rPr>
          <w:sz w:val="20"/>
          <w:szCs w:val="20"/>
          <w:color w:val="auto"/>
        </w:rPr>
      </w:pPr>
    </w:p>
    <w:p>
      <w:pPr>
        <w:ind w:left="5220" w:right="4360" w:hanging="5095"/>
        <w:spacing w:after="0" w:line="288" w:lineRule="auto"/>
        <w:tabs>
          <w:tab w:leader="none" w:pos="5200" w:val="left"/>
        </w:tabs>
        <w:rPr>
          <w:sz w:val="20"/>
          <w:szCs w:val="20"/>
          <w:color w:val="auto"/>
        </w:rPr>
      </w:pPr>
      <w:r>
        <w:rPr>
          <w:rFonts w:ascii="Arial" w:cs="Arial" w:eastAsia="Arial" w:hAnsi="Arial"/>
          <w:sz w:val="18"/>
          <w:szCs w:val="18"/>
          <w:color w:val="auto"/>
        </w:rPr>
        <w:t>March 7, 2018</w:t>
      </w:r>
      <w:r>
        <w:rPr>
          <w:sz w:val="20"/>
          <w:szCs w:val="20"/>
          <w:color w:val="auto"/>
        </w:rPr>
        <w:tab/>
      </w:r>
      <w:r>
        <w:rPr>
          <w:rFonts w:ascii="Arial" w:cs="Arial" w:eastAsia="Arial" w:hAnsi="Arial"/>
          <w:sz w:val="16"/>
          <w:szCs w:val="16"/>
          <w:color w:val="auto"/>
        </w:rPr>
        <w:t>/s/ BETTY R. JOHNSON Name: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-142240</wp:posOffset>
            </wp:positionV>
            <wp:extent cx="37896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3789680" cy="825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Senior Vice President, Chief Financial Officer and Treasurer</w:t>
      </w:r>
    </w:p>
    <w:p>
      <w:pPr>
        <w:spacing w:after="0" w:line="102" w:lineRule="exact"/>
        <w:rPr>
          <w:sz w:val="20"/>
          <w:szCs w:val="20"/>
          <w:color w:val="auto"/>
        </w:rPr>
      </w:pPr>
    </w:p>
    <w:p>
      <w:pPr>
        <w:ind w:left="180" w:right="20" w:firstLine="268"/>
        <w:spacing w:after="0" w:line="272"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67278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672782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506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40" w:type="dxa"/>
            <w:vAlign w:val="bottom"/>
          </w:tcPr>
          <w:p>
            <w:pPr>
              <w:spacing w:after="0"/>
              <w:rPr>
                <w:sz w:val="14"/>
                <w:szCs w:val="14"/>
                <w:color w:val="auto"/>
              </w:rPr>
            </w:pPr>
          </w:p>
        </w:tc>
      </w:tr>
      <w:tr>
        <w:trPr>
          <w:trHeight w:val="208"/>
        </w:trPr>
        <w:tc>
          <w:tcPr>
            <w:tcW w:w="12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4040" w:type="dxa"/>
            <w:vAlign w:val="bottom"/>
            <w:gridSpan w:val="2"/>
          </w:tcPr>
          <w:p>
            <w:pPr>
              <w:ind w:left="20"/>
              <w:spacing w:after="0" w:line="194" w:lineRule="exact"/>
              <w:rPr>
                <w:sz w:val="20"/>
                <w:szCs w:val="20"/>
                <w:color w:val="auto"/>
              </w:rPr>
            </w:pPr>
            <w:r>
              <w:rPr>
                <w:rFonts w:ascii="Arial" w:cs="Arial" w:eastAsia="Arial" w:hAnsi="Arial"/>
                <w:sz w:val="18"/>
                <w:szCs w:val="18"/>
                <w:color w:val="auto"/>
              </w:rPr>
              <w:t>Richard S. Swartz, Jr.</w:t>
            </w:r>
          </w:p>
        </w:tc>
        <w:tc>
          <w:tcPr>
            <w:tcW w:w="160" w:type="dxa"/>
            <w:vAlign w:val="bottom"/>
          </w:tcPr>
          <w:p>
            <w:pPr>
              <w:spacing w:after="0"/>
              <w:rPr>
                <w:sz w:val="16"/>
                <w:szCs w:val="16"/>
                <w:color w:val="auto"/>
              </w:rPr>
            </w:pPr>
          </w:p>
        </w:tc>
        <w:tc>
          <w:tcPr>
            <w:tcW w:w="5060" w:type="dxa"/>
            <w:vAlign w:val="bottom"/>
          </w:tcPr>
          <w:p>
            <w:pPr>
              <w:spacing w:after="0" w:line="194" w:lineRule="exact"/>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BETTY R. JOHNSON</w:t>
            </w: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182"/>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60" w:type="dxa"/>
            <w:vAlign w:val="bottom"/>
          </w:tcPr>
          <w:p>
            <w:pPr>
              <w:spacing w:after="0" w:line="182" w:lineRule="exact"/>
              <w:rPr>
                <w:sz w:val="20"/>
                <w:szCs w:val="20"/>
                <w:color w:val="auto"/>
              </w:rPr>
            </w:pPr>
            <w:r>
              <w:rPr>
                <w:rFonts w:ascii="Arial" w:cs="Arial" w:eastAsia="Arial" w:hAnsi="Arial"/>
                <w:sz w:val="18"/>
                <w:szCs w:val="18"/>
                <w:color w:val="auto"/>
              </w:rPr>
              <w:t>and Treasurer (Principal Financial Officer and</w:t>
            </w: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8"/>
        </w:trPr>
        <w:tc>
          <w:tcPr>
            <w:tcW w:w="120" w:type="dxa"/>
            <w:vAlign w:val="bottom"/>
          </w:tcPr>
          <w:p>
            <w:pPr>
              <w:spacing w:after="0"/>
              <w:rPr>
                <w:sz w:val="19"/>
                <w:szCs w:val="19"/>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Betty R. Johnson</w:t>
            </w: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Executive Chairman of the Board of Directors</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William A. Koertner</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Jack L. Alexander</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Larry F. Altenbaumer</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Bradley T. Favreau</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Henry W. Fayne</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Kenneth M. Hartwick</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Gary R. Johnson</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Donald C.I. Lucky</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Maurice E. Moore</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409"/>
        </w:trPr>
        <w:tc>
          <w:tcPr>
            <w:tcW w:w="12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William D. Patterson</w:t>
            </w: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*By:  /s/ BETTY R. JOHNSON</w:t>
            </w:r>
          </w:p>
        </w:tc>
        <w:tc>
          <w:tcPr>
            <w:tcW w:w="1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7, 2018</w:t>
            </w:r>
          </w:p>
        </w:tc>
        <w:tc>
          <w:tcPr>
            <w:tcW w:w="240" w:type="dxa"/>
            <w:vAlign w:val="bottom"/>
          </w:tcPr>
          <w:p>
            <w:pPr>
              <w:spacing w:after="0"/>
              <w:rPr>
                <w:sz w:val="19"/>
                <w:szCs w:val="19"/>
                <w:color w:val="auto"/>
              </w:rPr>
            </w:pPr>
          </w:p>
        </w:tc>
      </w:tr>
      <w:tr>
        <w:trPr>
          <w:trHeight w:val="194"/>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(Betty R. Johnson)</w:t>
            </w:r>
          </w:p>
        </w:tc>
        <w:tc>
          <w:tcPr>
            <w:tcW w:w="1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i w:val="1"/>
                <w:iCs w:val="1"/>
                <w:color w:val="auto"/>
              </w:rPr>
              <w:t>(Attorney-in-fact)</w:t>
            </w:r>
          </w:p>
        </w:tc>
        <w:tc>
          <w:tcPr>
            <w:tcW w:w="1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76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20" w:type="dxa"/>
            <w:vAlign w:val="bottom"/>
            <w:gridSpan w:val="2"/>
          </w:tcPr>
          <w:p>
            <w:pPr>
              <w:jc w:val="right"/>
              <w:ind w:right="3492"/>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5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the Registrant</w:t>
      </w:r>
    </w:p>
    <w:p>
      <w:pPr>
        <w:spacing w:after="0" w:line="226" w:lineRule="exact"/>
        <w:rPr>
          <w:sz w:val="20"/>
          <w:szCs w:val="20"/>
          <w:color w:val="auto"/>
        </w:rPr>
      </w:pPr>
    </w:p>
    <w:p>
      <w:pPr>
        <w:ind w:right="240"/>
        <w:spacing w:after="0" w:line="302" w:lineRule="auto"/>
        <w:rPr>
          <w:sz w:val="20"/>
          <w:szCs w:val="20"/>
          <w:color w:val="auto"/>
        </w:rPr>
      </w:pPr>
      <w:r>
        <w:rPr>
          <w:rFonts w:ascii="Arial" w:cs="Arial" w:eastAsia="Arial" w:hAnsi="Arial"/>
          <w:sz w:val="17"/>
          <w:szCs w:val="17"/>
          <w:color w:val="auto"/>
        </w:rPr>
        <w:t>Pursuant to Item 601(b)(21)(ii) of Regulation S-K, the names of certain subsidiaries of the Company have been omitted because such unnamed subsidiaries, considered in the aggregate as a single subsidiary, would not constitute a significant subsidiary as of December 31, 2017.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20" w:type="dxa"/>
            <w:vAlign w:val="bottom"/>
            <w:gridSpan w:val="4"/>
          </w:tcPr>
          <w:p>
            <w:pPr>
              <w:spacing w:after="0"/>
              <w:rPr>
                <w:sz w:val="20"/>
                <w:szCs w:val="20"/>
                <w:color w:val="auto"/>
              </w:rPr>
            </w:pPr>
            <w:r>
              <w:rPr>
                <w:rFonts w:ascii="Arial" w:cs="Arial" w:eastAsia="Arial" w:hAnsi="Arial"/>
                <w:sz w:val="18"/>
                <w:szCs w:val="18"/>
                <w:b w:val="1"/>
                <w:bCs w:val="1"/>
                <w:color w:val="auto"/>
              </w:rPr>
              <w:t>Subsidiary</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 Incorporation</w:t>
            </w:r>
          </w:p>
        </w:tc>
      </w:tr>
      <w:tr>
        <w:trPr>
          <w:trHeight w:val="195"/>
        </w:trPr>
        <w:tc>
          <w:tcPr>
            <w:tcW w:w="2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w:t>
            </w:r>
          </w:p>
        </w:tc>
        <w:tc>
          <w:tcPr>
            <w:tcW w:w="77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The L. E. Myers Co.</w:t>
            </w:r>
          </w:p>
        </w:tc>
        <w:tc>
          <w:tcPr>
            <w:tcW w:w="10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Delaware,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2.</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MYR Transmission Services, Inc.</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Delaware,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3.</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Harlan Electric Company</w:t>
            </w:r>
          </w:p>
        </w:tc>
        <w:tc>
          <w:tcPr>
            <w:tcW w:w="3200" w:type="dxa"/>
            <w:vAlign w:val="bottom"/>
          </w:tcPr>
          <w:p>
            <w:pPr>
              <w:jc w:val="center"/>
              <w:spacing w:after="0"/>
              <w:rPr>
                <w:sz w:val="20"/>
                <w:szCs w:val="20"/>
                <w:color w:val="auto"/>
              </w:rPr>
            </w:pPr>
            <w:r>
              <w:rPr>
                <w:rFonts w:ascii="Arial" w:cs="Arial" w:eastAsia="Arial" w:hAnsi="Arial"/>
                <w:sz w:val="18"/>
                <w:szCs w:val="18"/>
                <w:color w:val="auto"/>
                <w:w w:val="93"/>
              </w:rPr>
              <w:t>Michigan,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4.</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Sturgeon Electric Company, Inc.</w:t>
            </w:r>
          </w:p>
        </w:tc>
        <w:tc>
          <w:tcPr>
            <w:tcW w:w="3200" w:type="dxa"/>
            <w:vAlign w:val="bottom"/>
          </w:tcPr>
          <w:p>
            <w:pPr>
              <w:jc w:val="center"/>
              <w:spacing w:after="0"/>
              <w:rPr>
                <w:sz w:val="20"/>
                <w:szCs w:val="20"/>
                <w:color w:val="auto"/>
              </w:rPr>
            </w:pPr>
            <w:r>
              <w:rPr>
                <w:rFonts w:ascii="Arial" w:cs="Arial" w:eastAsia="Arial" w:hAnsi="Arial"/>
                <w:sz w:val="18"/>
                <w:szCs w:val="18"/>
                <w:color w:val="auto"/>
                <w:w w:val="93"/>
              </w:rPr>
              <w:t>Michigan,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5.</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MYR Equipment, LLC</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Delaware,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6.</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MYR Real Estate Holdings, LLC</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Delaware,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7.</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MYR Group Construction Canada, Ltd.</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British Columbia, Canada</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8.</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MYR Transmission Services Canada, Ltd.</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British Columbia, Canada</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9.</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Northern Transmission Services, Ltd.</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British Columbia, Canada</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10.</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E.S. Boulos Company</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Delaware,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11.</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High Country Line Construction, Inc.</w:t>
            </w:r>
          </w:p>
        </w:tc>
        <w:tc>
          <w:tcPr>
            <w:tcW w:w="3200" w:type="dxa"/>
            <w:vAlign w:val="bottom"/>
          </w:tcPr>
          <w:p>
            <w:pPr>
              <w:jc w:val="center"/>
              <w:spacing w:after="0"/>
              <w:rPr>
                <w:sz w:val="20"/>
                <w:szCs w:val="20"/>
                <w:color w:val="auto"/>
              </w:rPr>
            </w:pPr>
            <w:r>
              <w:rPr>
                <w:rFonts w:ascii="Arial" w:cs="Arial" w:eastAsia="Arial" w:hAnsi="Arial"/>
                <w:sz w:val="18"/>
                <w:szCs w:val="18"/>
                <w:color w:val="auto"/>
                <w:w w:val="88"/>
              </w:rPr>
              <w:t>Nevada,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12.</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Great Southwestern Construction, Inc.</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Colorado,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13.</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GSW Integrated Services, LLC</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Delaware,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14.</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MYR Real Estate Holdings Alaska, LLC</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Delaware, U.S.</w:t>
            </w:r>
          </w:p>
        </w:tc>
      </w:tr>
      <w:tr>
        <w:trPr>
          <w:trHeight w:val="215"/>
        </w:trPr>
        <w:tc>
          <w:tcPr>
            <w:tcW w:w="420" w:type="dxa"/>
            <w:vAlign w:val="bottom"/>
            <w:gridSpan w:val="2"/>
          </w:tcPr>
          <w:p>
            <w:pPr>
              <w:spacing w:after="0"/>
              <w:rPr>
                <w:sz w:val="20"/>
                <w:szCs w:val="20"/>
                <w:color w:val="auto"/>
              </w:rPr>
            </w:pPr>
            <w:r>
              <w:rPr>
                <w:rFonts w:ascii="Arial" w:cs="Arial" w:eastAsia="Arial" w:hAnsi="Arial"/>
                <w:sz w:val="18"/>
                <w:szCs w:val="18"/>
                <w:color w:val="auto"/>
              </w:rPr>
              <w:t>15.</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Sturgeon Electric California, LLC</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Delaware, U.S.</w:t>
            </w:r>
          </w:p>
        </w:tc>
      </w:tr>
      <w:tr>
        <w:trPr>
          <w:trHeight w:val="227"/>
        </w:trPr>
        <w:tc>
          <w:tcPr>
            <w:tcW w:w="420" w:type="dxa"/>
            <w:vAlign w:val="bottom"/>
            <w:gridSpan w:val="2"/>
          </w:tcPr>
          <w:p>
            <w:pPr>
              <w:spacing w:after="0"/>
              <w:rPr>
                <w:sz w:val="20"/>
                <w:szCs w:val="20"/>
                <w:color w:val="auto"/>
              </w:rPr>
            </w:pPr>
            <w:r>
              <w:rPr>
                <w:rFonts w:ascii="Arial" w:cs="Arial" w:eastAsia="Arial" w:hAnsi="Arial"/>
                <w:sz w:val="18"/>
                <w:szCs w:val="18"/>
                <w:color w:val="auto"/>
              </w:rPr>
              <w:t>16.</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Western Pacific Enterprises Ltd.</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British Columbia, Canada</w:t>
            </w:r>
          </w:p>
        </w:tc>
      </w:tr>
      <w:tr>
        <w:trPr>
          <w:trHeight w:val="672"/>
        </w:trPr>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3"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consent to the incorporation by reference in Registration Statements on Form S-8 (Nos 333-217559, 333-196110, 333-174152, 333-156501, 333-41065, and 333-02605) of MYR Group Inc. of our report dated March 7, 2018 relating to the consolidated financial statements and effectiveness of internal control over financial reporting, appearing in this Annual Report on Form 10-K.</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Crowe Horwath LLP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601980</wp:posOffset>
            </wp:positionV>
            <wp:extent cx="7247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consent to the incorporation by reference in the Registration Statement (Form S-8 No. 333-217559) pertaining to the MYR Group Inc. 2017 Long-Term Incentive Plan of our report dated March 9, 2017, with respect to the consolidated financial statements of MYR Group Inc., included in its Annual Report (Form 10-K) for the year ended December 31, 2017, filed with the Securities and Exchange Commission.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601980</wp:posOffset>
            </wp:positionV>
            <wp:extent cx="7247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24.1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RESOLUTION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AUTHORITY 2017 FORM 10-K</w:t>
      </w:r>
    </w:p>
    <w:p>
      <w:pPr>
        <w:spacing w:after="0" w:line="209" w:lineRule="exact"/>
        <w:rPr>
          <w:sz w:val="20"/>
          <w:szCs w:val="20"/>
          <w:color w:val="auto"/>
        </w:rPr>
      </w:pPr>
    </w:p>
    <w:p>
      <w:pPr>
        <w:ind w:right="60"/>
        <w:spacing w:after="0" w:line="302" w:lineRule="auto"/>
        <w:rPr>
          <w:sz w:val="20"/>
          <w:szCs w:val="20"/>
          <w:color w:val="auto"/>
        </w:rPr>
      </w:pPr>
      <w:r>
        <w:rPr>
          <w:rFonts w:ascii="Arial" w:cs="Arial" w:eastAsia="Arial" w:hAnsi="Arial"/>
          <w:sz w:val="17"/>
          <w:szCs w:val="17"/>
          <w:color w:val="auto"/>
        </w:rPr>
        <w:t>WHEREAS, MYR Group Inc., a Delaware corporation (the “Company”), is required to file with the Securities and Exchange Commission pursuant to Section 13 or 15(d) under the provisions of the Securities Act of 1934 a Form 10-K for the fiscal year ended December 31, 2017; and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WHEREAS, each of the undersigned holds the office or offices in the Company herein below set opposite his or her name.</w:t>
      </w:r>
    </w:p>
    <w:p>
      <w:pPr>
        <w:spacing w:after="0" w:line="222"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NOW, THEREFORE, each of the undersigned hereby constitutes and appoints Richard S. Swartz, Jr., Betty R. Johnson, and Gerald B. Engen Jr., and each of them individually, his or her true and lawful attorney, with full power to act for him or her 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 in connection with the filing of the Form 10-K and any and all amendments thereof with the Securities and Exchange Commission and hereby ratifies and confirms all that said attorney may or shall lawfully do or cause to be done by virtue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IN WITNESS WHEREOF, the undersigned have hereunto set their hands this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of March 2018.</w:t>
      </w:r>
    </w:p>
    <w:p>
      <w:pPr>
        <w:sectPr>
          <w:pgSz w:w="11900" w:h="16838" w:orient="portrait"/>
          <w:cols w:equalWidth="0" w:num="1">
            <w:col w:w="11140"/>
          </w:cols>
          <w:pgMar w:left="240" w:top="934" w:right="519" w:bottom="1440" w:gutter="0" w:footer="0" w:header="0"/>
        </w:sectPr>
      </w:pPr>
    </w:p>
    <w:p>
      <w:pPr>
        <w:spacing w:after="0" w:line="38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RICHARD S. SWARTZ, JR.</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BETTY R. JOHNSON</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WILLIAM A. KOERTNER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William A. Koertner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JACK L. ALEXANDER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Jack L.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LARRY F. ALTENBAUMER</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Larry F. Altenbaumer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BRADLEY T. FAVREAU</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Bradley T. Favreau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HENRY W. FAYNE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Henry W. Fayne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KENNETH M. HARTWICK</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Kenneth M. Hartwick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GARY R. JOHNSON</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Gary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DONALD C. I. LUCKY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Donald C. I. Lucky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MAURICE E. MOORE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Maurice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WILLIAM D. PATTERSON</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William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381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(Principal Executive Officer)</w:t>
      </w:r>
    </w:p>
    <w:p>
      <w:pPr>
        <w:spacing w:after="0" w:line="200" w:lineRule="exact"/>
        <w:rPr>
          <w:sz w:val="20"/>
          <w:szCs w:val="20"/>
          <w:color w:val="auto"/>
        </w:rPr>
      </w:pPr>
    </w:p>
    <w:p>
      <w:pPr>
        <w:spacing w:after="0" w:line="250"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Senior Vice President, Chief Financial Officer and Treasurer (Principal Financial Officer and Principal Accounting Officer)</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Director (Chairman)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3" w:lineRule="exact"/>
        <w:rPr>
          <w:sz w:val="20"/>
          <w:szCs w:val="20"/>
          <w:color w:val="auto"/>
        </w:rPr>
      </w:pPr>
    </w:p>
    <w:p>
      <w:pPr>
        <w:sectPr>
          <w:pgSz w:w="11900" w:h="16838" w:orient="portrait"/>
          <w:cols w:equalWidth="0" w:num="2">
            <w:col w:w="4640" w:space="720"/>
            <w:col w:w="5780"/>
          </w:cols>
          <w:pgMar w:left="240" w:top="93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47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40"/>
          </w:cols>
          <w:pgMar w:left="240" w:top="934" w:right="51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Richard S. Swartz, Jr., certify that:</w:t>
      </w:r>
    </w:p>
    <w:p>
      <w:pPr>
        <w:spacing w:after="0" w:line="115" w:lineRule="exact"/>
        <w:rPr>
          <w:sz w:val="20"/>
          <w:szCs w:val="20"/>
          <w:color w:val="auto"/>
        </w:rPr>
      </w:pPr>
    </w:p>
    <w:p>
      <w:pPr>
        <w:ind w:left="540" w:hanging="26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MYR Group Inc.;</w:t>
      </w:r>
    </w:p>
    <w:p>
      <w:pPr>
        <w:spacing w:after="0" w:line="114" w:lineRule="exact"/>
        <w:rPr>
          <w:rFonts w:ascii="Arial" w:cs="Arial" w:eastAsia="Arial" w:hAnsi="Arial"/>
          <w:sz w:val="18"/>
          <w:szCs w:val="18"/>
          <w:color w:val="auto"/>
        </w:rPr>
      </w:pPr>
    </w:p>
    <w:p>
      <w:pPr>
        <w:jc w:val="both"/>
        <w:ind w:left="540" w:right="440" w:hanging="266"/>
        <w:spacing w:after="0" w:line="26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40" w:right="340" w:hanging="266"/>
        <w:spacing w:after="0" w:line="302"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ind w:left="540" w:right="20" w:hanging="266"/>
        <w:spacing w:after="0" w:line="26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ind w:left="820" w:right="420" w:hanging="278"/>
        <w:spacing w:after="0" w:line="260"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120" w:hanging="278"/>
        <w:spacing w:after="0" w:line="260"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820" w:right="900" w:hanging="278"/>
        <w:spacing w:after="0" w:line="336" w:lineRule="auto"/>
        <w:tabs>
          <w:tab w:leader="none" w:pos="8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820" w:hanging="278"/>
        <w:spacing w:after="0" w:line="260"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320" w:hanging="266"/>
        <w:spacing w:after="0" w:line="302"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820" w:right="320" w:hanging="278"/>
        <w:spacing w:after="0" w:line="302" w:lineRule="auto"/>
        <w:tabs>
          <w:tab w:leader="none" w:pos="8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820" w:right="280" w:hanging="278"/>
        <w:spacing w:after="0" w:line="272"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60807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101"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March 7, 2018</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13970</wp:posOffset>
            </wp:positionV>
            <wp:extent cx="34664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3466465" cy="8255"/>
                    </a:xfrm>
                    <a:prstGeom prst="rect">
                      <a:avLst/>
                    </a:prstGeom>
                    <a:noFill/>
                  </pic:spPr>
                </pic:pic>
              </a:graphicData>
            </a:graphic>
          </wp:anchor>
        </w:drawing>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444500</wp:posOffset>
            </wp:positionV>
            <wp:extent cx="7289800" cy="596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349" w:right="1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Betty R. Johnson, certify that:</w:t>
      </w:r>
    </w:p>
    <w:p>
      <w:pPr>
        <w:spacing w:after="0" w:line="115" w:lineRule="exact"/>
        <w:rPr>
          <w:sz w:val="20"/>
          <w:szCs w:val="20"/>
          <w:color w:val="auto"/>
        </w:rPr>
      </w:pPr>
    </w:p>
    <w:p>
      <w:pPr>
        <w:ind w:left="540" w:hanging="26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MYR Group Inc.;</w:t>
      </w:r>
    </w:p>
    <w:p>
      <w:pPr>
        <w:spacing w:after="0" w:line="114" w:lineRule="exact"/>
        <w:rPr>
          <w:rFonts w:ascii="Arial" w:cs="Arial" w:eastAsia="Arial" w:hAnsi="Arial"/>
          <w:sz w:val="18"/>
          <w:szCs w:val="18"/>
          <w:color w:val="auto"/>
        </w:rPr>
      </w:pPr>
    </w:p>
    <w:p>
      <w:pPr>
        <w:jc w:val="both"/>
        <w:ind w:left="540" w:right="440" w:hanging="266"/>
        <w:spacing w:after="0" w:line="26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40" w:right="340" w:hanging="266"/>
        <w:spacing w:after="0" w:line="302"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ind w:left="540" w:right="20" w:hanging="266"/>
        <w:spacing w:after="0" w:line="26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ind w:left="820" w:right="420" w:hanging="278"/>
        <w:spacing w:after="0" w:line="260"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120" w:hanging="278"/>
        <w:spacing w:after="0" w:line="260"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820" w:right="900" w:hanging="278"/>
        <w:spacing w:after="0" w:line="336" w:lineRule="auto"/>
        <w:tabs>
          <w:tab w:leader="none" w:pos="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820" w:hanging="278"/>
        <w:spacing w:after="0" w:line="260"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320" w:hanging="266"/>
        <w:spacing w:after="0" w:line="302"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820" w:right="320" w:hanging="278"/>
        <w:spacing w:after="0" w:line="302" w:lineRule="auto"/>
        <w:tabs>
          <w:tab w:leader="none" w:pos="8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820" w:right="280" w:hanging="278"/>
        <w:spacing w:after="0" w:line="272"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5927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5927725" cy="8255"/>
                    </a:xfrm>
                    <a:prstGeom prst="rect">
                      <a:avLst/>
                    </a:prstGeom>
                    <a:noFill/>
                  </pic:spPr>
                </pic:pic>
              </a:graphicData>
            </a:graphic>
          </wp:anchor>
        </w:drawing>
      </w:r>
    </w:p>
    <w:p>
      <w:pPr>
        <w:spacing w:after="0" w:line="101"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March 7, 2018</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13970</wp:posOffset>
            </wp:positionV>
            <wp:extent cx="36195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444500</wp:posOffset>
            </wp:positionV>
            <wp:extent cx="7289800" cy="596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349" w:right="1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2" w:lineRule="exact"/>
        <w:rPr>
          <w:sz w:val="20"/>
          <w:szCs w:val="20"/>
          <w:color w:val="auto"/>
        </w:rPr>
      </w:pPr>
    </w:p>
    <w:p>
      <w:pPr>
        <w:ind w:left="40" w:right="280" w:firstLine="268"/>
        <w:spacing w:after="0" w:line="272"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§1350, as adopted pursuant to §906 of the Sarbanes-Oxley Act of 2002, that:</w:t>
      </w:r>
    </w:p>
    <w:p>
      <w:pPr>
        <w:spacing w:after="0" w:line="67" w:lineRule="exact"/>
        <w:rPr>
          <w:sz w:val="20"/>
          <w:szCs w:val="20"/>
          <w:color w:val="auto"/>
        </w:rPr>
      </w:pPr>
    </w:p>
    <w:p>
      <w:pPr>
        <w:ind w:left="540" w:right="360" w:hanging="266"/>
        <w:spacing w:after="0" w:line="272"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2017 of the Company fully complies with the requirements of section 13(a) or 15(d) of the Securities Exchange Act of 1934; and</w:t>
      </w:r>
    </w:p>
    <w:p>
      <w:pPr>
        <w:spacing w:after="0" w:line="67" w:lineRule="exact"/>
        <w:rPr>
          <w:rFonts w:ascii="Arial" w:cs="Arial" w:eastAsia="Arial" w:hAnsi="Arial"/>
          <w:sz w:val="18"/>
          <w:szCs w:val="18"/>
          <w:color w:val="auto"/>
        </w:rPr>
      </w:pPr>
    </w:p>
    <w:p>
      <w:pPr>
        <w:ind w:left="540" w:hanging="266"/>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0807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6080760" cy="8255"/>
                    </a:xfrm>
                    <a:prstGeom prst="rect">
                      <a:avLst/>
                    </a:prstGeom>
                    <a:noFill/>
                  </pic:spPr>
                </pic:pic>
              </a:graphicData>
            </a:graphic>
          </wp:anchor>
        </w:drawing>
      </w:r>
    </w:p>
    <w:p>
      <w:pPr>
        <w:spacing w:after="0" w:line="17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March 7, 2018</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13970</wp:posOffset>
            </wp:positionV>
            <wp:extent cx="34664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3466465" cy="17145"/>
                    </a:xfrm>
                    <a:prstGeom prst="rect">
                      <a:avLst/>
                    </a:prstGeom>
                    <a:noFill/>
                  </pic:spPr>
                </pic:pic>
              </a:graphicData>
            </a:graphic>
          </wp:anchor>
        </w:drawing>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452755</wp:posOffset>
            </wp:positionV>
            <wp:extent cx="7289800" cy="596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349" w:right="1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 Betty R. Johnson, Senior Vice President, Chief Financial Officer and Treasurer of MYR Group, Inc.(the “Company”), certify, pursuant to 18 U.S.C.</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§1350, as adopted pursuant to §906 of the Sarbanes-Oxley Act of 2002, that:</w:t>
      </w:r>
    </w:p>
    <w:p>
      <w:pPr>
        <w:spacing w:after="0" w:line="102" w:lineRule="exact"/>
        <w:rPr>
          <w:sz w:val="20"/>
          <w:szCs w:val="20"/>
          <w:color w:val="auto"/>
        </w:rPr>
      </w:pPr>
    </w:p>
    <w:p>
      <w:pPr>
        <w:ind w:left="540" w:right="360" w:hanging="266"/>
        <w:spacing w:after="0" w:line="272"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2017 of the Company fully complies with the requirements of section 13(a) or 15(d) of the Securities Exchange Act of 1934; and</w:t>
      </w:r>
    </w:p>
    <w:p>
      <w:pPr>
        <w:spacing w:after="0" w:line="67" w:lineRule="exact"/>
        <w:rPr>
          <w:rFonts w:ascii="Arial" w:cs="Arial" w:eastAsia="Arial" w:hAnsi="Arial"/>
          <w:sz w:val="18"/>
          <w:szCs w:val="18"/>
          <w:color w:val="auto"/>
        </w:rPr>
      </w:pPr>
    </w:p>
    <w:p>
      <w:pPr>
        <w:ind w:left="540" w:hanging="266"/>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5918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5918835" cy="8255"/>
                    </a:xfrm>
                    <a:prstGeom prst="rect">
                      <a:avLst/>
                    </a:prstGeom>
                    <a:noFill/>
                  </pic:spPr>
                </pic:pic>
              </a:graphicData>
            </a:graphic>
          </wp:anchor>
        </w:drawing>
      </w:r>
    </w:p>
    <w:p>
      <w:pPr>
        <w:spacing w:after="0" w:line="160"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March 7, 2018</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13970</wp:posOffset>
            </wp:positionV>
            <wp:extent cx="362775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452755</wp:posOffset>
            </wp:positionV>
            <wp:extent cx="7289800"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sectPr>
      <w:pgSz w:w="11900" w:h="16838" w:orient="portrait"/>
      <w:cols w:equalWidth="0" w:num="1">
        <w:col w:w="11380"/>
      </w:cols>
      <w:pgMar w:left="380" w:top="34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3"/>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1."/>
      <w:numFmt w:val="decimal"/>
      <w:start w:val="13"/>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5"/>
    </w:lvl>
  </w:abstractNum>
  <w:abstractNum w:abstractNumId="20">
    <w:nsid w:val="4353D0CD"/>
    <w:multiLevelType w:val="hybridMultilevel"/>
    <w:lvl w:ilvl="0">
      <w:lvlJc w:val="left"/>
      <w:lvlText w:val="%1."/>
      <w:numFmt w:val="decimal"/>
      <w:start w:val="17"/>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9" Type="http://schemas.openxmlformats.org/officeDocument/2006/relationships/image" Target="media/image311.png"/><Relationship Id="rId321" Type="http://schemas.openxmlformats.org/officeDocument/2006/relationships/image" Target="media/image312.png"/><Relationship Id="rId323" Type="http://schemas.openxmlformats.org/officeDocument/2006/relationships/image" Target="media/image313.png"/><Relationship Id="rId334" Type="http://schemas.openxmlformats.org/officeDocument/2006/relationships/image" Target="media/image314.png"/><Relationship Id="rId336" Type="http://schemas.openxmlformats.org/officeDocument/2006/relationships/image" Target="media/image315.png"/><Relationship Id="rId338"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18" Type="http://schemas.openxmlformats.org/officeDocument/2006/relationships/hyperlink" Target="http://www.sec.gov/Archives/edgar/data/700923/000110465914035790/a14-12029_1ex3d1.htm" TargetMode="External"/><Relationship Id="rId320" Type="http://schemas.openxmlformats.org/officeDocument/2006/relationships/hyperlink" Target="http://www.sec.gov/Archives/edgar/data/700923/000114420415072248/v427606_ex3-1.htm" TargetMode="External"/><Relationship Id="rId322" Type="http://schemas.openxmlformats.org/officeDocument/2006/relationships/hyperlink" Target="http://www.sec.gov/Archives/edgar/data/700923/000104746908008139/a2186750zex-4_2.htm" TargetMode="External"/><Relationship Id="rId324" Type="http://schemas.openxmlformats.org/officeDocument/2006/relationships/hyperlink" Target="http://www.sec.gov/Archives/edgar/data/700923/000110465911071028/a11-32167_1ex10d1.htm" TargetMode="External"/><Relationship Id="rId325" Type="http://schemas.openxmlformats.org/officeDocument/2006/relationships/hyperlink" Target="http://www.sec.gov/Archives/edgar/data/700923/000110465911071028/a11-32167_1ex10d2.htm" TargetMode="External"/><Relationship Id="rId326" Type="http://schemas.openxmlformats.org/officeDocument/2006/relationships/hyperlink" Target="http://www.sec.gov/Archives/edgar/data/700923/000110465911071028/a11-32167_1ex10d3.htm" TargetMode="External"/><Relationship Id="rId327" Type="http://schemas.openxmlformats.org/officeDocument/2006/relationships/hyperlink" Target="http://www.sec.gov/Archives/edgar/data/700923/000110465914035790/a14-12029_1ex10d1.htm" TargetMode="External"/><Relationship Id="rId328" Type="http://schemas.openxmlformats.org/officeDocument/2006/relationships/hyperlink" Target="http://www.sec.gov/Archives/edgar/data/700923/000104746910005042/a2198591zex-10_1.htm" TargetMode="External"/><Relationship Id="rId329" Type="http://schemas.openxmlformats.org/officeDocument/2006/relationships/hyperlink" Target="http://www.sec.gov/Archives/edgar/data/700923/000104746910005042/a2198591zex-10_5.htm" TargetMode="External"/><Relationship Id="rId330" Type="http://schemas.openxmlformats.org/officeDocument/2006/relationships/hyperlink" Target="http://www.sec.gov/Archives/edgar/data/700923/000110465911028039/a11-11956_1ex10d1.htm" TargetMode="External"/><Relationship Id="rId331" Type="http://schemas.openxmlformats.org/officeDocument/2006/relationships/hyperlink" Target="http://www.sec.gov/Archives/edgar/data/700923/000110465914035790/a14-12029_1ex10d2.htm" TargetMode="External"/><Relationship Id="rId332" Type="http://schemas.openxmlformats.org/officeDocument/2006/relationships/hyperlink" Target="http://www.sec.gov/Archives/edgar/data/700923/000104746914001830/a2218624zex-10_15.htm" TargetMode="External"/><Relationship Id="rId333" Type="http://schemas.openxmlformats.org/officeDocument/2006/relationships/hyperlink" Target="http://www.sec.gov/Archives/edgar/data/700923/000104746914001830/a2218624zex-10_16.htm" TargetMode="External"/><Relationship Id="rId335" Type="http://schemas.openxmlformats.org/officeDocument/2006/relationships/hyperlink" Target="http://www.sec.gov/Archives/edgar/data/700923/000104746914001830/a2218624zex-10_17.htm" TargetMode="External"/><Relationship Id="rId337" Type="http://schemas.openxmlformats.org/officeDocument/2006/relationships/hyperlink" Target="http://www.sec.gov/Archives/edgar/data/700923/000114420415046498/v414043_ex10-1.htm" TargetMode="External"/><Relationship Id="rId339" Type="http://schemas.openxmlformats.org/officeDocument/2006/relationships/hyperlink" Target="http://www.sec.gov/Archives/edgar/data/700923/000114420415062760/v422039_ex10-1.htm" TargetMode="External"/><Relationship Id="rId344" Type="http://schemas.openxmlformats.org/officeDocument/2006/relationships/hyperlink" Target="http://www.sec.gov/Archives/edgar/data/700923/000114420416085692/v427195_ex10-21.htm" TargetMode="External"/><Relationship Id="rId345" Type="http://schemas.openxmlformats.org/officeDocument/2006/relationships/hyperlink" Target="http://www.sec.gov/Archives/edgar/data/700923/000114420416089668/v434890_ex10-1.htm" TargetMode="External"/><Relationship Id="rId346" Type="http://schemas.openxmlformats.org/officeDocument/2006/relationships/hyperlink" Target="http://www.sec.gov/Archives/edgar/data/700923/000114420416112012/v443775_ex10-1.htm" TargetMode="External"/><Relationship Id="rId347" Type="http://schemas.openxmlformats.org/officeDocument/2006/relationships/hyperlink" Target="http://www.sec.gov/Archives/edgar/data/700923/000114420416112012/v443775_ex10-2.htm" TargetMode="External"/><Relationship Id="rId348" Type="http://schemas.openxmlformats.org/officeDocument/2006/relationships/hyperlink" Target="http://www.sec.gov/Archives/edgar/data/700923/000114420416112012/v443775_ex10-3.htm" TargetMode="External"/><Relationship Id="rId349" Type="http://schemas.openxmlformats.org/officeDocument/2006/relationships/hyperlink" Target="http://www.sec.gov/Archives/edgar/data/700923/000114420417013721/v455820_ex10-24.htm" TargetMode="External"/><Relationship Id="rId350" Type="http://schemas.openxmlformats.org/officeDocument/2006/relationships/hyperlink" Target="http://www.sec.gov/Archives/edgar/data/700923/000114420417013721/v455820_ex10-25.htm" TargetMode="External"/><Relationship Id="rId351" Type="http://schemas.openxmlformats.org/officeDocument/2006/relationships/hyperlink" Target="http://www.sec.gov/Archives/edgar/data/700923/000114420417013721/v455820_ex10-26.htm" TargetMode="External"/><Relationship Id="rId352" Type="http://schemas.openxmlformats.org/officeDocument/2006/relationships/hyperlink" Target="http://www.sec.gov/Archives/edgar/data/700923/000114420417013721/v455820_ex10-27.htm" TargetMode="External"/><Relationship Id="rId353" Type="http://schemas.openxmlformats.org/officeDocument/2006/relationships/hyperlink" Target="http://www.sec.gov/Archives/edgar/data/700923/000114420417013721/v455820_ex10-28.htm" TargetMode="External"/><Relationship Id="rId354" Type="http://schemas.openxmlformats.org/officeDocument/2006/relationships/hyperlink" Target="http://www.sec.gov/Archives/edgar/data/700923/000114420417023048/v465531_ex10-1.htm" TargetMode="External"/><Relationship Id="rId355" Type="http://schemas.openxmlformats.org/officeDocument/2006/relationships/hyperlink" Target="http://www.sec.gov/Archives/edgar/data/700923/000114420417023048/v465531_ex10-2.htm" TargetMode="External"/><Relationship Id="rId356" Type="http://schemas.openxmlformats.org/officeDocument/2006/relationships/hyperlink" Target="http://www.sec.gov/Archives/edgar/data/700923/000114420417023048/v465531_ex10-3.htm" TargetMode="External"/><Relationship Id="rId357" Type="http://schemas.openxmlformats.org/officeDocument/2006/relationships/hyperlink" Target="http://www.sec.gov/Archives/edgar/data/700923/000114420417023048/v465531_ex10-4.htm" TargetMode="External"/><Relationship Id="rId358" Type="http://schemas.openxmlformats.org/officeDocument/2006/relationships/hyperlink" Target="http://www.sec.gov/Archives/edgar/data/700923/000114420417024199/v46418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2019-12-29T00:41:52Z</dcterms:created>
  <dcterms:modified xsi:type="dcterms:W3CDTF">2019-12-29T00:41:52Z</dcterms:modified>
</cp:coreProperties>
</file>